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224E" w:rsidRPr="00D21DAC" w:rsidRDefault="00D21DAC" w:rsidP="00D21DAC">
      <w:pPr>
        <w:pStyle w:val="Paragrafoelenco"/>
        <w:spacing w:line="240" w:lineRule="auto"/>
        <w:ind w:left="0" w:firstLine="0"/>
        <w:jc w:val="center"/>
        <w:rPr>
          <w:color w:val="002060"/>
        </w:rPr>
      </w:pPr>
      <w:proofErr w:type="spellStart"/>
      <w:r w:rsidRPr="00276C2F">
        <w:rPr>
          <w:color w:val="000000" w:themeColor="text1"/>
        </w:rPr>
        <w:t>A.a</w:t>
      </w:r>
      <w:proofErr w:type="spellEnd"/>
      <w:r w:rsidRPr="00276C2F">
        <w:rPr>
          <w:color w:val="000000" w:themeColor="text1"/>
        </w:rPr>
        <w:t>. 202</w:t>
      </w:r>
      <w:r w:rsidR="006E574D">
        <w:rPr>
          <w:color w:val="000000" w:themeColor="text1"/>
        </w:rPr>
        <w:t>4</w:t>
      </w:r>
      <w:r w:rsidRPr="00276C2F">
        <w:rPr>
          <w:color w:val="000000" w:themeColor="text1"/>
        </w:rPr>
        <w:t>-202</w:t>
      </w:r>
      <w:r w:rsidR="006E574D">
        <w:rPr>
          <w:color w:val="000000" w:themeColor="text1"/>
        </w:rPr>
        <w:t>5</w:t>
      </w:r>
    </w:p>
    <w:p w:rsidR="008C36A3" w:rsidRDefault="008C36A3" w:rsidP="00D21DAC">
      <w:pPr>
        <w:pStyle w:val="Paragrafoelenco"/>
        <w:spacing w:line="240" w:lineRule="auto"/>
        <w:ind w:left="0" w:firstLine="0"/>
        <w:jc w:val="center"/>
        <w:rPr>
          <w:b/>
          <w:bCs/>
          <w:color w:val="FF0000"/>
        </w:rPr>
      </w:pPr>
    </w:p>
    <w:p w:rsidR="00276C2F" w:rsidRPr="00AF0F73" w:rsidRDefault="00276C2F" w:rsidP="00D21DAC">
      <w:pPr>
        <w:pStyle w:val="Paragrafoelenco"/>
        <w:spacing w:line="240" w:lineRule="auto"/>
        <w:ind w:left="0" w:firstLine="0"/>
        <w:jc w:val="center"/>
        <w:rPr>
          <w:b/>
          <w:bCs/>
          <w:color w:val="FF0000"/>
        </w:rPr>
      </w:pPr>
      <w:r w:rsidRPr="00AF0F73">
        <w:rPr>
          <w:b/>
          <w:bCs/>
          <w:color w:val="FF0000"/>
        </w:rPr>
        <w:t>Diritto civile I</w:t>
      </w:r>
    </w:p>
    <w:p w:rsidR="006E574D" w:rsidRDefault="006E574D" w:rsidP="006E574D">
      <w:pPr>
        <w:pStyle w:val="Paragrafoelenco"/>
        <w:spacing w:line="240" w:lineRule="auto"/>
        <w:ind w:left="0" w:firstLine="0"/>
        <w:jc w:val="center"/>
        <w:rPr>
          <w:color w:val="002060"/>
        </w:rPr>
      </w:pPr>
      <w:r w:rsidRPr="00D21DAC">
        <w:rPr>
          <w:color w:val="002060"/>
        </w:rPr>
        <w:t xml:space="preserve">Prof. Fausto </w:t>
      </w:r>
      <w:proofErr w:type="spellStart"/>
      <w:r w:rsidRPr="00D21DAC">
        <w:rPr>
          <w:color w:val="002060"/>
        </w:rPr>
        <w:t>Caggia</w:t>
      </w:r>
      <w:proofErr w:type="spellEnd"/>
    </w:p>
    <w:p w:rsidR="006E574D" w:rsidRDefault="006E574D" w:rsidP="006E574D">
      <w:pPr>
        <w:pStyle w:val="Paragrafoelenco"/>
        <w:spacing w:line="240" w:lineRule="auto"/>
        <w:ind w:left="0" w:firstLine="0"/>
        <w:jc w:val="center"/>
        <w:rPr>
          <w:b/>
          <w:bCs/>
          <w:color w:val="FF0000"/>
        </w:rPr>
      </w:pPr>
    </w:p>
    <w:p w:rsidR="00D21DAC" w:rsidRPr="007A20E4" w:rsidRDefault="00D21DAC" w:rsidP="00D21DAC">
      <w:pPr>
        <w:pStyle w:val="Paragrafoelenco"/>
        <w:ind w:left="0" w:firstLine="0"/>
        <w:jc w:val="center"/>
        <w:rPr>
          <w:b/>
          <w:bCs/>
          <w:color w:val="002060"/>
        </w:rPr>
      </w:pPr>
      <w:r w:rsidRPr="007A20E4">
        <w:rPr>
          <w:b/>
          <w:bCs/>
          <w:i/>
          <w:iCs/>
          <w:color w:val="002060"/>
        </w:rPr>
        <w:t>Indice dei materiali</w:t>
      </w:r>
    </w:p>
    <w:p w:rsidR="004B3313" w:rsidRDefault="004B3313" w:rsidP="004B3313">
      <w:pPr>
        <w:pStyle w:val="Paragrafoelenco"/>
        <w:ind w:left="0" w:firstLine="0"/>
        <w:jc w:val="left"/>
        <w:rPr>
          <w:color w:val="FF0000"/>
        </w:rPr>
      </w:pPr>
    </w:p>
    <w:p w:rsidR="004B3313" w:rsidRPr="00B906C3" w:rsidRDefault="004B3313" w:rsidP="004B3313">
      <w:pPr>
        <w:pStyle w:val="Paragrafoelenco"/>
        <w:ind w:left="0" w:firstLine="360"/>
        <w:jc w:val="left"/>
        <w:rPr>
          <w:b/>
          <w:bCs/>
          <w:color w:val="FF0000"/>
        </w:rPr>
      </w:pPr>
      <w:r w:rsidRPr="00B906C3">
        <w:rPr>
          <w:b/>
          <w:bCs/>
          <w:color w:val="FF0000"/>
        </w:rPr>
        <w:t>Il retroterra giuridico della proprietà</w:t>
      </w:r>
    </w:p>
    <w:p w:rsidR="008E494B" w:rsidRPr="004B3313" w:rsidRDefault="004B3313" w:rsidP="004B3313">
      <w:pPr>
        <w:pStyle w:val="Paragrafoelenco"/>
        <w:ind w:left="0" w:firstLine="360"/>
        <w:jc w:val="left"/>
        <w:rPr>
          <w:color w:val="FF0000"/>
        </w:rPr>
      </w:pPr>
      <w:r>
        <w:rPr>
          <w:color w:val="FF0000"/>
        </w:rPr>
        <w:t xml:space="preserve"> </w:t>
      </w:r>
    </w:p>
    <w:p w:rsidR="008E494B" w:rsidRDefault="008E494B" w:rsidP="008E494B">
      <w:pPr>
        <w:pStyle w:val="Paragrafoelenco"/>
        <w:numPr>
          <w:ilvl w:val="0"/>
          <w:numId w:val="4"/>
        </w:numPr>
        <w:rPr>
          <w:color w:val="002060"/>
        </w:rPr>
      </w:pPr>
      <w:r w:rsidRPr="00CE5567">
        <w:rPr>
          <w:color w:val="000000" w:themeColor="text1"/>
        </w:rPr>
        <w:t xml:space="preserve">P. Grossi, </w:t>
      </w:r>
      <w:r w:rsidRPr="00CE5567">
        <w:rPr>
          <w:i/>
          <w:iCs/>
          <w:color w:val="000000" w:themeColor="text1"/>
        </w:rPr>
        <w:t>La proprietà e le proprietà, oggi</w:t>
      </w:r>
      <w:r w:rsidRPr="00CE5567">
        <w:rPr>
          <w:color w:val="000000" w:themeColor="text1"/>
        </w:rPr>
        <w:t xml:space="preserve">, in </w:t>
      </w:r>
      <w:r w:rsidRPr="00CE5567">
        <w:rPr>
          <w:i/>
          <w:iCs/>
          <w:color w:val="000000" w:themeColor="text1"/>
        </w:rPr>
        <w:t>Coordinamento dei dottorati di ricerca in diritto privato</w:t>
      </w:r>
      <w:r w:rsidRPr="00CE5567">
        <w:rPr>
          <w:color w:val="000000" w:themeColor="text1"/>
        </w:rPr>
        <w:t>, Atti del X Incontro Nazionale, a cura di G. Collura, Milano, 2009, pp. 2-10</w:t>
      </w:r>
    </w:p>
    <w:p w:rsidR="004B3313" w:rsidRDefault="004B3313" w:rsidP="004B3313">
      <w:pPr>
        <w:ind w:left="360" w:firstLine="0"/>
        <w:rPr>
          <w:color w:val="002060"/>
        </w:rPr>
      </w:pPr>
    </w:p>
    <w:p w:rsidR="004B3313" w:rsidRPr="00B906C3" w:rsidRDefault="004B3313" w:rsidP="004B3313">
      <w:pPr>
        <w:ind w:left="360" w:firstLine="0"/>
        <w:rPr>
          <w:b/>
          <w:bCs/>
          <w:color w:val="FF0000"/>
        </w:rPr>
      </w:pPr>
      <w:r w:rsidRPr="00B906C3">
        <w:rPr>
          <w:b/>
          <w:bCs/>
          <w:color w:val="FF0000"/>
        </w:rPr>
        <w:t>La proprietà nella prima globalizzazione</w:t>
      </w:r>
    </w:p>
    <w:p w:rsidR="004B3313" w:rsidRDefault="004B3313" w:rsidP="004B3313">
      <w:pPr>
        <w:ind w:left="360" w:firstLine="0"/>
        <w:rPr>
          <w:color w:val="FF0000"/>
        </w:rPr>
      </w:pPr>
    </w:p>
    <w:p w:rsidR="004B3313" w:rsidRPr="00CE5567" w:rsidRDefault="004B3313" w:rsidP="004B3313">
      <w:pPr>
        <w:pStyle w:val="Paragrafoelenco"/>
        <w:numPr>
          <w:ilvl w:val="0"/>
          <w:numId w:val="5"/>
        </w:numPr>
        <w:rPr>
          <w:b/>
          <w:bCs/>
          <w:color w:val="002060"/>
        </w:rPr>
      </w:pPr>
      <w:r w:rsidRPr="00CE5567">
        <w:rPr>
          <w:b/>
          <w:bCs/>
          <w:color w:val="002060"/>
        </w:rPr>
        <w:t>Il contributo della filosofia politica</w:t>
      </w:r>
    </w:p>
    <w:p w:rsidR="008E494B" w:rsidRPr="00CE5567" w:rsidRDefault="004B3313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 w:rsidRPr="00CE5567">
        <w:rPr>
          <w:color w:val="000000" w:themeColor="text1"/>
        </w:rPr>
        <w:t xml:space="preserve">J. Locke, </w:t>
      </w:r>
      <w:r w:rsidRPr="00CE5567">
        <w:rPr>
          <w:i/>
          <w:iCs/>
          <w:color w:val="000000" w:themeColor="text1"/>
        </w:rPr>
        <w:t>Due trattati sul governo</w:t>
      </w:r>
      <w:r w:rsidRPr="00CE5567">
        <w:rPr>
          <w:color w:val="000000" w:themeColor="text1"/>
        </w:rPr>
        <w:t>, Cap. IV. Della proprietà, 1690, pp. 254-260, 267-273.</w:t>
      </w:r>
    </w:p>
    <w:p w:rsidR="004B3313" w:rsidRPr="00CE5567" w:rsidRDefault="004B3313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 w:rsidRPr="00CE5567">
        <w:rPr>
          <w:color w:val="000000" w:themeColor="text1"/>
        </w:rPr>
        <w:t>Dichiarazione dei diritti dell’uomo e del cittadino (1789).</w:t>
      </w:r>
    </w:p>
    <w:p w:rsidR="004B3313" w:rsidRPr="00CE5567" w:rsidRDefault="004B3313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 w:rsidRPr="00CE5567">
        <w:rPr>
          <w:color w:val="000000" w:themeColor="text1"/>
        </w:rPr>
        <w:t xml:space="preserve">K. Marx – F. Engels, </w:t>
      </w:r>
      <w:r w:rsidRPr="00CE5567">
        <w:rPr>
          <w:i/>
          <w:iCs/>
          <w:color w:val="000000" w:themeColor="text1"/>
        </w:rPr>
        <w:t xml:space="preserve">Manifesto del </w:t>
      </w:r>
      <w:r w:rsidR="00B906C3">
        <w:rPr>
          <w:i/>
          <w:iCs/>
          <w:color w:val="000000" w:themeColor="text1"/>
        </w:rPr>
        <w:t>P</w:t>
      </w:r>
      <w:r w:rsidRPr="00CE5567">
        <w:rPr>
          <w:i/>
          <w:iCs/>
          <w:color w:val="000000" w:themeColor="text1"/>
        </w:rPr>
        <w:t xml:space="preserve">artito </w:t>
      </w:r>
      <w:r w:rsidR="00B906C3">
        <w:rPr>
          <w:i/>
          <w:iCs/>
          <w:color w:val="000000" w:themeColor="text1"/>
        </w:rPr>
        <w:t>C</w:t>
      </w:r>
      <w:r w:rsidRPr="00CE5567">
        <w:rPr>
          <w:i/>
          <w:iCs/>
          <w:color w:val="000000" w:themeColor="text1"/>
        </w:rPr>
        <w:t>omunista</w:t>
      </w:r>
      <w:r w:rsidRPr="00CE5567">
        <w:rPr>
          <w:color w:val="000000" w:themeColor="text1"/>
        </w:rPr>
        <w:t xml:space="preserve"> (1848), pp. 62, pp. 94-108, pp. 134-145.</w:t>
      </w:r>
    </w:p>
    <w:p w:rsidR="00A36526" w:rsidRPr="00CE5567" w:rsidRDefault="006353E4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 w:rsidRPr="00CE5567">
        <w:rPr>
          <w:color w:val="000000" w:themeColor="text1"/>
        </w:rPr>
        <w:t xml:space="preserve">Leone XIII, </w:t>
      </w:r>
      <w:r w:rsidRPr="00CE5567">
        <w:rPr>
          <w:i/>
          <w:iCs/>
          <w:color w:val="000000" w:themeColor="text1"/>
        </w:rPr>
        <w:t xml:space="preserve">Enciclica rerum </w:t>
      </w:r>
      <w:proofErr w:type="spellStart"/>
      <w:r w:rsidRPr="00CE5567">
        <w:rPr>
          <w:i/>
          <w:iCs/>
          <w:color w:val="000000" w:themeColor="text1"/>
        </w:rPr>
        <w:t>novarum</w:t>
      </w:r>
      <w:proofErr w:type="spellEnd"/>
      <w:r w:rsidRPr="00CE5567">
        <w:rPr>
          <w:color w:val="000000" w:themeColor="text1"/>
        </w:rPr>
        <w:t>, 1891.</w:t>
      </w:r>
    </w:p>
    <w:p w:rsidR="004A374C" w:rsidRDefault="004A374C" w:rsidP="004A374C">
      <w:pPr>
        <w:ind w:left="360" w:firstLine="0"/>
        <w:rPr>
          <w:color w:val="002060"/>
        </w:rPr>
      </w:pPr>
    </w:p>
    <w:p w:rsidR="004A374C" w:rsidRPr="00CE5567" w:rsidRDefault="004A374C" w:rsidP="004A374C">
      <w:pPr>
        <w:pStyle w:val="Paragrafoelenco"/>
        <w:numPr>
          <w:ilvl w:val="0"/>
          <w:numId w:val="5"/>
        </w:numPr>
        <w:rPr>
          <w:b/>
          <w:bCs/>
          <w:color w:val="002060"/>
        </w:rPr>
      </w:pPr>
      <w:r w:rsidRPr="00CE5567">
        <w:rPr>
          <w:b/>
          <w:bCs/>
          <w:color w:val="002060"/>
        </w:rPr>
        <w:t>Il contributo dei giuristi</w:t>
      </w:r>
    </w:p>
    <w:p w:rsidR="00A36526" w:rsidRPr="00B906C3" w:rsidRDefault="00A36526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 w:rsidRPr="00B906C3">
        <w:rPr>
          <w:color w:val="000000" w:themeColor="text1"/>
        </w:rPr>
        <w:t xml:space="preserve">G. R. </w:t>
      </w:r>
      <w:proofErr w:type="spellStart"/>
      <w:r w:rsidRPr="00B906C3">
        <w:rPr>
          <w:color w:val="000000" w:themeColor="text1"/>
        </w:rPr>
        <w:t>Pothier</w:t>
      </w:r>
      <w:proofErr w:type="spellEnd"/>
      <w:r w:rsidRPr="00B906C3">
        <w:rPr>
          <w:color w:val="000000" w:themeColor="text1"/>
        </w:rPr>
        <w:t xml:space="preserve">, </w:t>
      </w:r>
      <w:r w:rsidRPr="00B906C3">
        <w:rPr>
          <w:i/>
          <w:iCs/>
          <w:color w:val="000000" w:themeColor="text1"/>
        </w:rPr>
        <w:t>Trattato del diritto e dominio di proprietà</w:t>
      </w:r>
      <w:r w:rsidRPr="00B906C3">
        <w:rPr>
          <w:color w:val="000000" w:themeColor="text1"/>
        </w:rPr>
        <w:t xml:space="preserve"> (1699), pp. 3-9.</w:t>
      </w:r>
    </w:p>
    <w:p w:rsidR="00A36526" w:rsidRPr="00B906C3" w:rsidRDefault="00A36526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 w:rsidRPr="00B906C3">
        <w:rPr>
          <w:color w:val="000000" w:themeColor="text1"/>
        </w:rPr>
        <w:t>Art. 54</w:t>
      </w:r>
      <w:r w:rsidR="00B906C3">
        <w:rPr>
          <w:color w:val="000000" w:themeColor="text1"/>
        </w:rPr>
        <w:t>2, 544, 712</w:t>
      </w:r>
      <w:r w:rsidRPr="00B906C3">
        <w:rPr>
          <w:color w:val="000000" w:themeColor="text1"/>
        </w:rPr>
        <w:t xml:space="preserve"> codice civile francese</w:t>
      </w:r>
    </w:p>
    <w:p w:rsidR="00A36526" w:rsidRPr="00B906C3" w:rsidRDefault="00A36526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 w:rsidRPr="00B906C3">
        <w:rPr>
          <w:color w:val="000000" w:themeColor="text1"/>
        </w:rPr>
        <w:t xml:space="preserve">G. W. Hegel, </w:t>
      </w:r>
      <w:r w:rsidRPr="00B906C3">
        <w:rPr>
          <w:i/>
          <w:iCs/>
          <w:color w:val="000000" w:themeColor="text1"/>
        </w:rPr>
        <w:t>Lineamenti di filosofia del diritto</w:t>
      </w:r>
      <w:r w:rsidRPr="00B906C3">
        <w:rPr>
          <w:color w:val="000000" w:themeColor="text1"/>
        </w:rPr>
        <w:t xml:space="preserve"> (1821), </w:t>
      </w:r>
      <w:r w:rsidR="002A06DE" w:rsidRPr="00B906C3">
        <w:rPr>
          <w:color w:val="000000" w:themeColor="text1"/>
        </w:rPr>
        <w:t>trad. di F. Messineo, Bari, 1954, pp. 57-80</w:t>
      </w:r>
    </w:p>
    <w:p w:rsidR="004A374C" w:rsidRPr="00B906C3" w:rsidRDefault="004A374C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 w:rsidRPr="00B906C3">
        <w:rPr>
          <w:color w:val="000000" w:themeColor="text1"/>
        </w:rPr>
        <w:t xml:space="preserve">F. K. von </w:t>
      </w:r>
      <w:proofErr w:type="spellStart"/>
      <w:r w:rsidRPr="00B906C3">
        <w:rPr>
          <w:color w:val="000000" w:themeColor="text1"/>
        </w:rPr>
        <w:t>Savigny</w:t>
      </w:r>
      <w:proofErr w:type="spellEnd"/>
      <w:r w:rsidRPr="00B906C3">
        <w:rPr>
          <w:color w:val="000000" w:themeColor="text1"/>
        </w:rPr>
        <w:t xml:space="preserve">, </w:t>
      </w:r>
      <w:r w:rsidRPr="00B906C3">
        <w:rPr>
          <w:i/>
          <w:iCs/>
          <w:color w:val="000000" w:themeColor="text1"/>
        </w:rPr>
        <w:t>Sistema del diritto romano attuale</w:t>
      </w:r>
      <w:r w:rsidRPr="00B906C3">
        <w:rPr>
          <w:color w:val="000000" w:themeColor="text1"/>
        </w:rPr>
        <w:t>, vol. I, trad. di V. Scialoja, 1886, pp. 36-37, 97-103, 335-347, 367-373</w:t>
      </w:r>
    </w:p>
    <w:p w:rsidR="004A374C" w:rsidRDefault="00AB710F" w:rsidP="008E494B">
      <w:pPr>
        <w:pStyle w:val="Paragrafoelenco"/>
        <w:numPr>
          <w:ilvl w:val="0"/>
          <w:numId w:val="4"/>
        </w:numPr>
        <w:rPr>
          <w:color w:val="002060"/>
        </w:rPr>
      </w:pPr>
      <w:r w:rsidRPr="00B906C3">
        <w:rPr>
          <w:color w:val="000000" w:themeColor="text1"/>
        </w:rPr>
        <w:t xml:space="preserve">B. </w:t>
      </w:r>
      <w:proofErr w:type="spellStart"/>
      <w:r w:rsidRPr="00B906C3">
        <w:rPr>
          <w:color w:val="000000" w:themeColor="text1"/>
        </w:rPr>
        <w:t>Windscheid</w:t>
      </w:r>
      <w:proofErr w:type="spellEnd"/>
      <w:r w:rsidRPr="00B906C3">
        <w:rPr>
          <w:color w:val="000000" w:themeColor="text1"/>
        </w:rPr>
        <w:t xml:space="preserve">, </w:t>
      </w:r>
      <w:r w:rsidRPr="00B906C3">
        <w:rPr>
          <w:i/>
          <w:iCs/>
          <w:color w:val="000000" w:themeColor="text1"/>
        </w:rPr>
        <w:t>Diritto delle pandette</w:t>
      </w:r>
      <w:r w:rsidRPr="00B906C3">
        <w:rPr>
          <w:color w:val="000000" w:themeColor="text1"/>
        </w:rPr>
        <w:t>, Cap. IV. Proprietà (1862), trad. italiana di Fadda e Bensa, Torino, 1930, pp. 589-603.</w:t>
      </w:r>
    </w:p>
    <w:p w:rsidR="004F71C8" w:rsidRDefault="004F71C8" w:rsidP="004F71C8">
      <w:pPr>
        <w:ind w:left="360" w:firstLine="0"/>
        <w:rPr>
          <w:color w:val="002060"/>
        </w:rPr>
      </w:pPr>
    </w:p>
    <w:p w:rsidR="004F71C8" w:rsidRPr="00B906C3" w:rsidRDefault="004F71C8" w:rsidP="004F71C8">
      <w:pPr>
        <w:ind w:left="360" w:firstLine="0"/>
        <w:rPr>
          <w:b/>
          <w:bCs/>
          <w:color w:val="FF0000"/>
        </w:rPr>
      </w:pPr>
      <w:r w:rsidRPr="00B906C3">
        <w:rPr>
          <w:b/>
          <w:bCs/>
          <w:color w:val="FF0000"/>
        </w:rPr>
        <w:t>La proprietà nella seconda glob</w:t>
      </w:r>
      <w:r w:rsidR="00B906C3">
        <w:rPr>
          <w:b/>
          <w:bCs/>
          <w:color w:val="FF0000"/>
        </w:rPr>
        <w:t>a</w:t>
      </w:r>
      <w:r w:rsidRPr="00B906C3">
        <w:rPr>
          <w:b/>
          <w:bCs/>
          <w:color w:val="FF0000"/>
        </w:rPr>
        <w:t>lizzazione</w:t>
      </w:r>
    </w:p>
    <w:p w:rsidR="004F71C8" w:rsidRPr="004F71C8" w:rsidRDefault="004F71C8" w:rsidP="004F71C8">
      <w:pPr>
        <w:ind w:left="360" w:firstLine="0"/>
        <w:rPr>
          <w:color w:val="FF0000"/>
        </w:rPr>
      </w:pPr>
    </w:p>
    <w:p w:rsidR="00AB328B" w:rsidRDefault="00AB328B" w:rsidP="008E494B">
      <w:pPr>
        <w:pStyle w:val="Paragrafoelenco"/>
        <w:numPr>
          <w:ilvl w:val="0"/>
          <w:numId w:val="4"/>
        </w:numPr>
        <w:rPr>
          <w:color w:val="002060"/>
        </w:rPr>
      </w:pPr>
      <w:r w:rsidRPr="00B906C3">
        <w:rPr>
          <w:color w:val="000000" w:themeColor="text1"/>
        </w:rPr>
        <w:lastRenderedPageBreak/>
        <w:t>La Costituzione di Weimar (1919)</w:t>
      </w:r>
    </w:p>
    <w:p w:rsidR="004F71C8" w:rsidRDefault="004F71C8" w:rsidP="004F71C8">
      <w:pPr>
        <w:ind w:left="360" w:firstLine="0"/>
        <w:rPr>
          <w:color w:val="002060"/>
        </w:rPr>
      </w:pPr>
    </w:p>
    <w:p w:rsidR="004F71C8" w:rsidRPr="00CE5567" w:rsidRDefault="004F71C8" w:rsidP="004F71C8">
      <w:pPr>
        <w:pStyle w:val="Paragrafoelenco"/>
        <w:numPr>
          <w:ilvl w:val="0"/>
          <w:numId w:val="8"/>
        </w:numPr>
        <w:rPr>
          <w:b/>
          <w:bCs/>
          <w:color w:val="002060"/>
        </w:rPr>
      </w:pPr>
      <w:r w:rsidRPr="00CE5567">
        <w:rPr>
          <w:b/>
          <w:bCs/>
          <w:color w:val="002060"/>
        </w:rPr>
        <w:t>La funzione sociale</w:t>
      </w:r>
    </w:p>
    <w:p w:rsidR="00AB328B" w:rsidRPr="00CE5567" w:rsidRDefault="004F71C8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 w:rsidRPr="00CE5567">
        <w:rPr>
          <w:color w:val="000000" w:themeColor="text1"/>
        </w:rPr>
        <w:t>Carta del lavoro, approvata dal Gran Consiglio del Fascismo (1927)</w:t>
      </w:r>
    </w:p>
    <w:p w:rsidR="004F71C8" w:rsidRPr="00CE5567" w:rsidRDefault="004F71C8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 w:rsidRPr="00CE5567">
        <w:rPr>
          <w:color w:val="000000" w:themeColor="text1"/>
        </w:rPr>
        <w:t xml:space="preserve">B. Mussolini, </w:t>
      </w:r>
      <w:r w:rsidRPr="00CE5567">
        <w:rPr>
          <w:i/>
          <w:iCs/>
          <w:color w:val="000000" w:themeColor="text1"/>
        </w:rPr>
        <w:t>Discorso al Senato per lo Stato Corporativo</w:t>
      </w:r>
      <w:r w:rsidRPr="00CE5567">
        <w:rPr>
          <w:color w:val="000000" w:themeColor="text1"/>
        </w:rPr>
        <w:t xml:space="preserve">, 13 gennaio 1934, in </w:t>
      </w:r>
      <w:r w:rsidRPr="00CE5567">
        <w:rPr>
          <w:i/>
          <w:iCs/>
          <w:color w:val="000000" w:themeColor="text1"/>
        </w:rPr>
        <w:t>Opera Omnia di Benito Mussolini</w:t>
      </w:r>
      <w:r w:rsidRPr="00CE5567">
        <w:rPr>
          <w:color w:val="000000" w:themeColor="text1"/>
        </w:rPr>
        <w:t>, XXVI, Firenze, pp. 146-151.</w:t>
      </w:r>
    </w:p>
    <w:p w:rsidR="007A20E4" w:rsidRPr="00CE5567" w:rsidRDefault="007A20E4" w:rsidP="007A20E4">
      <w:pPr>
        <w:pStyle w:val="Paragrafoelenco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F. Ferrara, </w:t>
      </w:r>
      <w:r>
        <w:rPr>
          <w:i/>
          <w:iCs/>
          <w:color w:val="000000" w:themeColor="text1"/>
        </w:rPr>
        <w:t>La proprietà come “dovere sociale”</w:t>
      </w:r>
      <w:r>
        <w:rPr>
          <w:color w:val="000000" w:themeColor="text1"/>
        </w:rPr>
        <w:t xml:space="preserve">, in </w:t>
      </w:r>
      <w:r w:rsidRPr="00CE5567">
        <w:rPr>
          <w:color w:val="000000" w:themeColor="text1"/>
        </w:rPr>
        <w:t xml:space="preserve">Aa. </w:t>
      </w:r>
      <w:proofErr w:type="spellStart"/>
      <w:r w:rsidRPr="00CE5567">
        <w:rPr>
          <w:color w:val="000000" w:themeColor="text1"/>
        </w:rPr>
        <w:t>Vv</w:t>
      </w:r>
      <w:proofErr w:type="spellEnd"/>
      <w:r w:rsidRPr="00CE5567">
        <w:rPr>
          <w:color w:val="000000" w:themeColor="text1"/>
        </w:rPr>
        <w:t xml:space="preserve">., </w:t>
      </w:r>
      <w:r w:rsidRPr="00CE5567">
        <w:rPr>
          <w:i/>
          <w:iCs/>
          <w:color w:val="000000" w:themeColor="text1"/>
        </w:rPr>
        <w:t>La concezione fascista della proprietà</w:t>
      </w:r>
      <w:r w:rsidRPr="00CE5567">
        <w:rPr>
          <w:color w:val="000000" w:themeColor="text1"/>
        </w:rPr>
        <w:t>, Roma, 1939, pp.</w:t>
      </w:r>
      <w:r>
        <w:rPr>
          <w:color w:val="000000" w:themeColor="text1"/>
        </w:rPr>
        <w:t xml:space="preserve"> 278-287</w:t>
      </w:r>
    </w:p>
    <w:p w:rsidR="007A20E4" w:rsidRDefault="007A20E4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F. Vassalli, </w:t>
      </w:r>
      <w:r>
        <w:rPr>
          <w:i/>
          <w:iCs/>
          <w:color w:val="000000" w:themeColor="text1"/>
        </w:rPr>
        <w:t>Per una definizione legislativa</w:t>
      </w:r>
      <w:r w:rsidR="008E7220">
        <w:rPr>
          <w:i/>
          <w:iCs/>
          <w:color w:val="000000" w:themeColor="text1"/>
        </w:rPr>
        <w:t xml:space="preserve"> del diritto di proprietà</w:t>
      </w:r>
      <w:r w:rsidR="008E7220">
        <w:rPr>
          <w:color w:val="000000" w:themeColor="text1"/>
        </w:rPr>
        <w:t xml:space="preserve">, in Aa. </w:t>
      </w:r>
      <w:proofErr w:type="spellStart"/>
      <w:r w:rsidR="008E7220">
        <w:rPr>
          <w:color w:val="000000" w:themeColor="text1"/>
        </w:rPr>
        <w:t>Vv</w:t>
      </w:r>
      <w:proofErr w:type="spellEnd"/>
      <w:r w:rsidR="008E7220">
        <w:rPr>
          <w:color w:val="000000" w:themeColor="text1"/>
        </w:rPr>
        <w:t xml:space="preserve">., </w:t>
      </w:r>
      <w:r w:rsidR="008E7220">
        <w:rPr>
          <w:i/>
          <w:iCs/>
          <w:color w:val="000000" w:themeColor="text1"/>
        </w:rPr>
        <w:t>La concezione fascista della proprietà</w:t>
      </w:r>
      <w:r w:rsidR="008E7220">
        <w:rPr>
          <w:color w:val="000000" w:themeColor="text1"/>
        </w:rPr>
        <w:t>, Roma, 1939, pp. 100-108.</w:t>
      </w:r>
    </w:p>
    <w:p w:rsidR="004F71C8" w:rsidRPr="00CE5567" w:rsidRDefault="004F71C8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 w:rsidRPr="00CE5567">
        <w:rPr>
          <w:color w:val="000000" w:themeColor="text1"/>
        </w:rPr>
        <w:t>Costituzione tedesca (1949), artt. 14 e 15</w:t>
      </w:r>
      <w:r w:rsidR="005118A5">
        <w:rPr>
          <w:color w:val="000000" w:themeColor="text1"/>
        </w:rPr>
        <w:t>.</w:t>
      </w:r>
    </w:p>
    <w:p w:rsidR="004F71C8" w:rsidRDefault="004F71C8" w:rsidP="008E494B">
      <w:pPr>
        <w:pStyle w:val="Paragrafoelenco"/>
        <w:numPr>
          <w:ilvl w:val="0"/>
          <w:numId w:val="4"/>
        </w:numPr>
        <w:rPr>
          <w:color w:val="002060"/>
        </w:rPr>
      </w:pPr>
      <w:r w:rsidRPr="00CE5567">
        <w:rPr>
          <w:color w:val="000000" w:themeColor="text1"/>
        </w:rPr>
        <w:t>Preambolo alla Costituzione francese (1946)</w:t>
      </w:r>
    </w:p>
    <w:p w:rsidR="004F71C8" w:rsidRDefault="00CE5567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 w:rsidRPr="00B906C3">
        <w:rPr>
          <w:color w:val="000000" w:themeColor="text1"/>
        </w:rPr>
        <w:t xml:space="preserve">S. Pugliatti, </w:t>
      </w:r>
      <w:r w:rsidRPr="00B906C3">
        <w:rPr>
          <w:i/>
          <w:iCs/>
          <w:color w:val="000000" w:themeColor="text1"/>
        </w:rPr>
        <w:t>La proprietà e le proprietà (con particolare riguardo alla proprietà terriera)</w:t>
      </w:r>
      <w:r w:rsidRPr="00B906C3">
        <w:rPr>
          <w:color w:val="000000" w:themeColor="text1"/>
        </w:rPr>
        <w:t xml:space="preserve">, </w:t>
      </w:r>
      <w:r w:rsidR="00B906C3" w:rsidRPr="00B906C3">
        <w:rPr>
          <w:color w:val="000000" w:themeColor="text1"/>
        </w:rPr>
        <w:t xml:space="preserve">in </w:t>
      </w:r>
      <w:r w:rsidR="00B906C3" w:rsidRPr="00B906C3">
        <w:rPr>
          <w:i/>
          <w:iCs/>
          <w:color w:val="000000" w:themeColor="text1"/>
        </w:rPr>
        <w:t>La proprietà nel nuovo diritto</w:t>
      </w:r>
      <w:r w:rsidR="00B906C3" w:rsidRPr="00B906C3">
        <w:rPr>
          <w:color w:val="000000" w:themeColor="text1"/>
        </w:rPr>
        <w:t>, Milano, 1964, pp. 145-150</w:t>
      </w:r>
      <w:r w:rsidR="005118A5">
        <w:rPr>
          <w:color w:val="000000" w:themeColor="text1"/>
        </w:rPr>
        <w:t>, 224-267, 274-287, 298-309</w:t>
      </w:r>
      <w:r w:rsidR="00B906C3">
        <w:rPr>
          <w:color w:val="000000" w:themeColor="text1"/>
        </w:rPr>
        <w:t>.</w:t>
      </w:r>
    </w:p>
    <w:p w:rsidR="00B906C3" w:rsidRDefault="00B906C3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S. Rodotà, </w:t>
      </w:r>
      <w:r>
        <w:rPr>
          <w:i/>
          <w:iCs/>
          <w:color w:val="000000" w:themeColor="text1"/>
        </w:rPr>
        <w:t>Note critiche in tema di proprietà</w:t>
      </w:r>
      <w:r>
        <w:rPr>
          <w:color w:val="000000" w:themeColor="text1"/>
        </w:rPr>
        <w:t xml:space="preserve">, in </w:t>
      </w:r>
      <w:r>
        <w:rPr>
          <w:i/>
          <w:iCs/>
          <w:color w:val="000000" w:themeColor="text1"/>
        </w:rPr>
        <w:t>Riv. trim. dir. proc. civ.</w:t>
      </w:r>
      <w:r>
        <w:rPr>
          <w:color w:val="000000" w:themeColor="text1"/>
        </w:rPr>
        <w:t>, 1960, pp. 12</w:t>
      </w:r>
      <w:r w:rsidR="005118A5">
        <w:rPr>
          <w:color w:val="000000" w:themeColor="text1"/>
        </w:rPr>
        <w:t>94</w:t>
      </w:r>
      <w:r w:rsidR="00EE2550">
        <w:rPr>
          <w:color w:val="000000" w:themeColor="text1"/>
        </w:rPr>
        <w:t>-1314, 1325-1327, 1333-1341</w:t>
      </w:r>
      <w:r>
        <w:rPr>
          <w:color w:val="000000" w:themeColor="text1"/>
        </w:rPr>
        <w:t>.</w:t>
      </w:r>
    </w:p>
    <w:p w:rsidR="00124ED1" w:rsidRDefault="00124ED1" w:rsidP="00124ED1">
      <w:pPr>
        <w:ind w:left="360" w:firstLine="0"/>
        <w:rPr>
          <w:color w:val="000000" w:themeColor="text1"/>
        </w:rPr>
      </w:pPr>
    </w:p>
    <w:p w:rsidR="00124ED1" w:rsidRPr="00124ED1" w:rsidRDefault="00124ED1" w:rsidP="00124ED1">
      <w:pPr>
        <w:pStyle w:val="Paragrafoelenco"/>
        <w:numPr>
          <w:ilvl w:val="0"/>
          <w:numId w:val="8"/>
        </w:numPr>
        <w:rPr>
          <w:b/>
          <w:bCs/>
          <w:color w:val="002060"/>
        </w:rPr>
      </w:pPr>
      <w:r w:rsidRPr="00124ED1">
        <w:rPr>
          <w:b/>
          <w:bCs/>
          <w:color w:val="002060"/>
        </w:rPr>
        <w:t>La funzione sociale nella giurisprudenza costituzionale</w:t>
      </w:r>
    </w:p>
    <w:p w:rsidR="00B906C3" w:rsidRDefault="00B906C3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Corte cost., </w:t>
      </w:r>
      <w:proofErr w:type="spellStart"/>
      <w:r>
        <w:rPr>
          <w:color w:val="000000" w:themeColor="text1"/>
        </w:rPr>
        <w:t>sent</w:t>
      </w:r>
      <w:proofErr w:type="spellEnd"/>
      <w:r>
        <w:rPr>
          <w:color w:val="000000" w:themeColor="text1"/>
        </w:rPr>
        <w:t>. n. 55/1968.</w:t>
      </w:r>
    </w:p>
    <w:p w:rsidR="00B906C3" w:rsidRDefault="00B906C3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A. M. Sandulli, </w:t>
      </w:r>
      <w:r>
        <w:rPr>
          <w:i/>
          <w:iCs/>
          <w:color w:val="000000" w:themeColor="text1"/>
        </w:rPr>
        <w:t>Profili costituzionali della proprietà privata</w:t>
      </w:r>
      <w:r>
        <w:rPr>
          <w:color w:val="000000" w:themeColor="text1"/>
        </w:rPr>
        <w:t xml:space="preserve">, in </w:t>
      </w:r>
      <w:r>
        <w:rPr>
          <w:i/>
          <w:iCs/>
          <w:color w:val="000000" w:themeColor="text1"/>
        </w:rPr>
        <w:t>Riv. trim dir. proc. civ.</w:t>
      </w:r>
      <w:r>
        <w:rPr>
          <w:color w:val="000000" w:themeColor="text1"/>
        </w:rPr>
        <w:t>, 1972, pp. 465-488.</w:t>
      </w:r>
    </w:p>
    <w:p w:rsidR="00B906C3" w:rsidRDefault="00124ED1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Corte cost., </w:t>
      </w:r>
      <w:proofErr w:type="spellStart"/>
      <w:r>
        <w:rPr>
          <w:color w:val="000000" w:themeColor="text1"/>
        </w:rPr>
        <w:t>sent</w:t>
      </w:r>
      <w:proofErr w:type="spellEnd"/>
      <w:r>
        <w:rPr>
          <w:color w:val="000000" w:themeColor="text1"/>
        </w:rPr>
        <w:t>. n. 5/1980</w:t>
      </w:r>
    </w:p>
    <w:p w:rsidR="00124ED1" w:rsidRDefault="00124ED1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S. Rodotà, </w:t>
      </w:r>
      <w:r>
        <w:rPr>
          <w:i/>
          <w:iCs/>
          <w:color w:val="000000" w:themeColor="text1"/>
        </w:rPr>
        <w:t>Il sistema costituzionale della proprietà</w:t>
      </w:r>
      <w:r>
        <w:rPr>
          <w:color w:val="000000" w:themeColor="text1"/>
        </w:rPr>
        <w:t xml:space="preserve">, in Id., </w:t>
      </w:r>
      <w:r>
        <w:rPr>
          <w:i/>
          <w:iCs/>
          <w:color w:val="000000" w:themeColor="text1"/>
        </w:rPr>
        <w:t>Il terribile diritto. Studi sulla proprietà privata</w:t>
      </w:r>
      <w:r>
        <w:rPr>
          <w:color w:val="000000" w:themeColor="text1"/>
        </w:rPr>
        <w:t>, il Mulino, Bologna, par. 9</w:t>
      </w:r>
      <w:r w:rsidR="007B222F">
        <w:rPr>
          <w:color w:val="000000" w:themeColor="text1"/>
        </w:rPr>
        <w:t>, pp. 366-373.</w:t>
      </w:r>
    </w:p>
    <w:p w:rsidR="00124ED1" w:rsidRDefault="00124ED1" w:rsidP="00124ED1">
      <w:pPr>
        <w:ind w:left="360" w:firstLine="0"/>
        <w:rPr>
          <w:color w:val="000000" w:themeColor="text1"/>
        </w:rPr>
      </w:pPr>
    </w:p>
    <w:p w:rsidR="00124ED1" w:rsidRDefault="00124ED1" w:rsidP="00124ED1">
      <w:pPr>
        <w:ind w:left="360" w:firstLine="0"/>
        <w:rPr>
          <w:b/>
          <w:bCs/>
          <w:color w:val="FF0000"/>
        </w:rPr>
      </w:pPr>
      <w:r w:rsidRPr="00124ED1">
        <w:rPr>
          <w:b/>
          <w:bCs/>
          <w:color w:val="FF0000"/>
        </w:rPr>
        <w:t>La proprietà nella terza globalizzazione</w:t>
      </w:r>
    </w:p>
    <w:p w:rsidR="00124ED1" w:rsidRPr="00124ED1" w:rsidRDefault="00124ED1" w:rsidP="00124ED1">
      <w:pPr>
        <w:ind w:left="360" w:firstLine="0"/>
        <w:rPr>
          <w:color w:val="FF0000"/>
        </w:rPr>
      </w:pPr>
    </w:p>
    <w:p w:rsidR="00124ED1" w:rsidRDefault="008E1037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>A</w:t>
      </w:r>
      <w:r w:rsidR="00C63D55">
        <w:rPr>
          <w:color w:val="000000" w:themeColor="text1"/>
        </w:rPr>
        <w:t>.</w:t>
      </w:r>
      <w:r>
        <w:rPr>
          <w:color w:val="000000" w:themeColor="text1"/>
        </w:rPr>
        <w:t xml:space="preserve"> Gambaro, </w:t>
      </w:r>
      <w:r>
        <w:rPr>
          <w:i/>
          <w:iCs/>
          <w:color w:val="000000" w:themeColor="text1"/>
        </w:rPr>
        <w:t xml:space="preserve">Ontologia dei beni e </w:t>
      </w:r>
      <w:proofErr w:type="spellStart"/>
      <w:r>
        <w:rPr>
          <w:color w:val="000000" w:themeColor="text1"/>
        </w:rPr>
        <w:t>jus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excludendi</w:t>
      </w:r>
      <w:proofErr w:type="spellEnd"/>
      <w:r>
        <w:rPr>
          <w:color w:val="000000" w:themeColor="text1"/>
        </w:rPr>
        <w:t xml:space="preserve">, in </w:t>
      </w:r>
      <w:hyperlink r:id="rId5" w:history="1">
        <w:r w:rsidRPr="00183863">
          <w:rPr>
            <w:rStyle w:val="Collegamentoipertestuale"/>
          </w:rPr>
          <w:t>http://www.comparazionedirittocivile.it</w:t>
        </w:r>
      </w:hyperlink>
    </w:p>
    <w:p w:rsidR="008E1037" w:rsidRPr="00C63D55" w:rsidRDefault="008E1037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 w:rsidRPr="00C63D55">
        <w:rPr>
          <w:color w:val="000000" w:themeColor="text1"/>
        </w:rPr>
        <w:t xml:space="preserve">Art. 1, Protocollo addizionale 1 </w:t>
      </w:r>
      <w:proofErr w:type="spellStart"/>
      <w:r w:rsidRPr="00C63D55">
        <w:rPr>
          <w:color w:val="000000" w:themeColor="text1"/>
        </w:rPr>
        <w:t>Cedu</w:t>
      </w:r>
      <w:proofErr w:type="spellEnd"/>
      <w:r w:rsidR="00C63D55" w:rsidRPr="00C63D55">
        <w:rPr>
          <w:color w:val="000000" w:themeColor="text1"/>
        </w:rPr>
        <w:t>; art. 17</w:t>
      </w:r>
      <w:r w:rsidR="00C63D55">
        <w:rPr>
          <w:color w:val="000000" w:themeColor="text1"/>
        </w:rPr>
        <w:t>,</w:t>
      </w:r>
      <w:r w:rsidR="00C63D55" w:rsidRPr="00C63D55">
        <w:rPr>
          <w:color w:val="000000" w:themeColor="text1"/>
        </w:rPr>
        <w:t xml:space="preserve"> Carta UE; art. 33</w:t>
      </w:r>
      <w:r w:rsidR="00C63D55">
        <w:rPr>
          <w:color w:val="000000" w:themeColor="text1"/>
        </w:rPr>
        <w:t>,</w:t>
      </w:r>
      <w:r w:rsidR="00C63D55" w:rsidRPr="00C63D55">
        <w:rPr>
          <w:color w:val="000000" w:themeColor="text1"/>
        </w:rPr>
        <w:t xml:space="preserve"> Cost. spagnola (1978); art. 26</w:t>
      </w:r>
      <w:r w:rsidR="00C63D55">
        <w:rPr>
          <w:color w:val="000000" w:themeColor="text1"/>
        </w:rPr>
        <w:t>,</w:t>
      </w:r>
      <w:r w:rsidR="00C63D55" w:rsidRPr="00C63D55">
        <w:rPr>
          <w:color w:val="000000" w:themeColor="text1"/>
        </w:rPr>
        <w:t xml:space="preserve"> Cost. svizzera (2000);</w:t>
      </w:r>
      <w:r w:rsidR="00C63D55">
        <w:rPr>
          <w:color w:val="000000" w:themeColor="text1"/>
        </w:rPr>
        <w:t xml:space="preserve"> art. </w:t>
      </w:r>
      <w:r w:rsidRPr="00C63D55">
        <w:rPr>
          <w:color w:val="000000" w:themeColor="text1"/>
        </w:rPr>
        <w:t>13, Cost</w:t>
      </w:r>
      <w:r w:rsidR="00C63D55">
        <w:rPr>
          <w:color w:val="000000" w:themeColor="text1"/>
        </w:rPr>
        <w:t>.</w:t>
      </w:r>
      <w:r w:rsidRPr="00C63D55">
        <w:rPr>
          <w:color w:val="000000" w:themeColor="text1"/>
        </w:rPr>
        <w:t xml:space="preserve"> ungherese (2012)</w:t>
      </w:r>
    </w:p>
    <w:p w:rsidR="008F2DAA" w:rsidRDefault="008F2DAA" w:rsidP="008F2DAA">
      <w:pPr>
        <w:ind w:left="360" w:firstLine="0"/>
        <w:rPr>
          <w:color w:val="000000" w:themeColor="text1"/>
        </w:rPr>
      </w:pPr>
    </w:p>
    <w:p w:rsidR="008F2DAA" w:rsidRPr="008F2DAA" w:rsidRDefault="008F2DAA" w:rsidP="008F2DAA">
      <w:pPr>
        <w:pStyle w:val="Paragrafoelenco"/>
        <w:numPr>
          <w:ilvl w:val="0"/>
          <w:numId w:val="10"/>
        </w:numPr>
        <w:rPr>
          <w:b/>
          <w:bCs/>
          <w:color w:val="002060"/>
        </w:rPr>
      </w:pPr>
      <w:r w:rsidRPr="008F2DAA">
        <w:rPr>
          <w:b/>
          <w:bCs/>
          <w:color w:val="002060"/>
        </w:rPr>
        <w:t>La proprietà europea tra conformazione e limiti esterni</w:t>
      </w:r>
    </w:p>
    <w:p w:rsidR="008F2DAA" w:rsidRDefault="008F2DAA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Corte di giustizia, caso </w:t>
      </w:r>
      <w:proofErr w:type="spellStart"/>
      <w:r>
        <w:rPr>
          <w:color w:val="000000" w:themeColor="text1"/>
        </w:rPr>
        <w:t>Hauer</w:t>
      </w:r>
      <w:proofErr w:type="spellEnd"/>
      <w:r>
        <w:rPr>
          <w:color w:val="000000" w:themeColor="text1"/>
        </w:rPr>
        <w:t xml:space="preserve"> (1979)</w:t>
      </w:r>
    </w:p>
    <w:p w:rsidR="008F2DAA" w:rsidRDefault="008F2DAA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Corte di giustizia, caso </w:t>
      </w:r>
      <w:proofErr w:type="spellStart"/>
      <w:r>
        <w:rPr>
          <w:color w:val="000000" w:themeColor="text1"/>
        </w:rPr>
        <w:t>Sky</w:t>
      </w:r>
      <w:proofErr w:type="spellEnd"/>
      <w:r>
        <w:rPr>
          <w:color w:val="000000" w:themeColor="text1"/>
        </w:rPr>
        <w:t xml:space="preserve"> Austria (2013)</w:t>
      </w:r>
    </w:p>
    <w:p w:rsidR="00D62691" w:rsidRDefault="00D62691" w:rsidP="00D62691">
      <w:pPr>
        <w:ind w:left="360" w:firstLine="0"/>
        <w:rPr>
          <w:color w:val="000000" w:themeColor="text1"/>
        </w:rPr>
      </w:pPr>
    </w:p>
    <w:p w:rsidR="00D62691" w:rsidRPr="00D62691" w:rsidRDefault="00D62691" w:rsidP="00D62691">
      <w:pPr>
        <w:pStyle w:val="Paragrafoelenco"/>
        <w:numPr>
          <w:ilvl w:val="0"/>
          <w:numId w:val="10"/>
        </w:numPr>
        <w:rPr>
          <w:b/>
          <w:bCs/>
          <w:color w:val="000000" w:themeColor="text1"/>
        </w:rPr>
      </w:pPr>
      <w:r w:rsidRPr="00D62691">
        <w:rPr>
          <w:b/>
          <w:bCs/>
          <w:color w:val="002060"/>
        </w:rPr>
        <w:t>La misura dell’indennizzo da espropriazione nella dialettica fra le corti</w:t>
      </w:r>
    </w:p>
    <w:p w:rsidR="008F2DAA" w:rsidRDefault="008F2DAA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Corte </w:t>
      </w:r>
      <w:proofErr w:type="spellStart"/>
      <w:r>
        <w:rPr>
          <w:color w:val="000000" w:themeColor="text1"/>
        </w:rPr>
        <w:t>edu</w:t>
      </w:r>
      <w:proofErr w:type="spellEnd"/>
      <w:r>
        <w:rPr>
          <w:color w:val="000000" w:themeColor="text1"/>
        </w:rPr>
        <w:t>, caso Scordino c. Italia (2007)</w:t>
      </w:r>
    </w:p>
    <w:p w:rsidR="00C75F9E" w:rsidRDefault="008F2DAA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Corte cost. </w:t>
      </w:r>
      <w:proofErr w:type="spellStart"/>
      <w:r>
        <w:rPr>
          <w:color w:val="000000" w:themeColor="text1"/>
        </w:rPr>
        <w:t>sent</w:t>
      </w:r>
      <w:proofErr w:type="spellEnd"/>
      <w:r>
        <w:rPr>
          <w:color w:val="000000" w:themeColor="text1"/>
        </w:rPr>
        <w:t>. n. 348</w:t>
      </w:r>
      <w:r w:rsidR="00C75F9E">
        <w:rPr>
          <w:color w:val="000000" w:themeColor="text1"/>
        </w:rPr>
        <w:t>/2007</w:t>
      </w:r>
      <w:r>
        <w:rPr>
          <w:color w:val="000000" w:themeColor="text1"/>
        </w:rPr>
        <w:t xml:space="preserve"> </w:t>
      </w:r>
    </w:p>
    <w:p w:rsidR="008F2DAA" w:rsidRDefault="00C75F9E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Corte cost. sent. n. </w:t>
      </w:r>
      <w:r w:rsidR="008F2DAA">
        <w:rPr>
          <w:color w:val="000000" w:themeColor="text1"/>
        </w:rPr>
        <w:t>349</w:t>
      </w:r>
      <w:r>
        <w:rPr>
          <w:color w:val="000000" w:themeColor="text1"/>
        </w:rPr>
        <w:t>/</w:t>
      </w:r>
      <w:r w:rsidR="008F2DAA">
        <w:rPr>
          <w:color w:val="000000" w:themeColor="text1"/>
        </w:rPr>
        <w:t>2007</w:t>
      </w:r>
    </w:p>
    <w:p w:rsidR="008F2DAA" w:rsidRDefault="008F2DAA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Art. 42 bis, d.p.r. 8 giugno 2001, n. 327, introdotto dall’art. 34 </w:t>
      </w:r>
      <w:proofErr w:type="spellStart"/>
      <w:r>
        <w:rPr>
          <w:color w:val="000000" w:themeColor="text1"/>
        </w:rPr>
        <w:t>d.l.</w:t>
      </w:r>
      <w:proofErr w:type="spellEnd"/>
      <w:r>
        <w:rPr>
          <w:color w:val="000000" w:themeColor="text1"/>
        </w:rPr>
        <w:t xml:space="preserve"> 6 luglio 2011, n. 98, convertito con legge 15 luglio 2011, n. 111 (“occupazione acquisitiva”)</w:t>
      </w:r>
      <w:r w:rsidR="00C65E9B">
        <w:rPr>
          <w:color w:val="000000" w:themeColor="text1"/>
        </w:rPr>
        <w:t>.</w:t>
      </w:r>
    </w:p>
    <w:p w:rsidR="00C65E9B" w:rsidRDefault="00C65E9B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Corte cost., </w:t>
      </w:r>
      <w:proofErr w:type="spellStart"/>
      <w:r>
        <w:rPr>
          <w:color w:val="000000" w:themeColor="text1"/>
        </w:rPr>
        <w:t>sent</w:t>
      </w:r>
      <w:proofErr w:type="spellEnd"/>
      <w:r>
        <w:rPr>
          <w:color w:val="000000" w:themeColor="text1"/>
        </w:rPr>
        <w:t>. n. 338/2011</w:t>
      </w:r>
    </w:p>
    <w:p w:rsidR="00C65E9B" w:rsidRDefault="00C65E9B" w:rsidP="00C65E9B">
      <w:pPr>
        <w:ind w:left="360" w:firstLine="0"/>
        <w:rPr>
          <w:color w:val="000000" w:themeColor="text1"/>
        </w:rPr>
      </w:pPr>
    </w:p>
    <w:p w:rsidR="00C65E9B" w:rsidRPr="00C65E9B" w:rsidRDefault="00C65E9B" w:rsidP="00C65E9B">
      <w:pPr>
        <w:pStyle w:val="Paragrafoelenco"/>
        <w:numPr>
          <w:ilvl w:val="0"/>
          <w:numId w:val="10"/>
        </w:numPr>
        <w:rPr>
          <w:b/>
          <w:bCs/>
          <w:color w:val="002060"/>
        </w:rPr>
      </w:pPr>
      <w:r>
        <w:rPr>
          <w:b/>
          <w:bCs/>
          <w:color w:val="002060"/>
        </w:rPr>
        <w:t>La proprietà privata tra funzione sociale e diritti umani</w:t>
      </w:r>
    </w:p>
    <w:p w:rsidR="00C65E9B" w:rsidRDefault="00C65E9B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G. Ramaccioni, </w:t>
      </w:r>
      <w:r>
        <w:rPr>
          <w:i/>
          <w:iCs/>
          <w:color w:val="000000" w:themeColor="text1"/>
        </w:rPr>
        <w:t xml:space="preserve">La tutela multilivello del diritto di proprietà: il caso della acquisizione sanante. Da Locke a </w:t>
      </w:r>
      <w:proofErr w:type="spellStart"/>
      <w:r>
        <w:rPr>
          <w:i/>
          <w:iCs/>
          <w:color w:val="000000" w:themeColor="text1"/>
        </w:rPr>
        <w:t>Renner</w:t>
      </w:r>
      <w:proofErr w:type="spellEnd"/>
      <w:r>
        <w:rPr>
          <w:i/>
          <w:iCs/>
          <w:color w:val="000000" w:themeColor="text1"/>
        </w:rPr>
        <w:t>… e ritorno/</w:t>
      </w:r>
      <w:r>
        <w:rPr>
          <w:color w:val="000000" w:themeColor="text1"/>
        </w:rPr>
        <w:t xml:space="preserve">, in C. Salvi (a cura di), </w:t>
      </w:r>
      <w:r>
        <w:rPr>
          <w:i/>
          <w:iCs/>
          <w:color w:val="000000" w:themeColor="text1"/>
        </w:rPr>
        <w:t>Diritto civile e principî costituzionali europei e italiani</w:t>
      </w:r>
      <w:r>
        <w:rPr>
          <w:color w:val="000000" w:themeColor="text1"/>
        </w:rPr>
        <w:t>, Torino, pp. 273-278</w:t>
      </w:r>
    </w:p>
    <w:p w:rsidR="00C65E9B" w:rsidRDefault="00C65E9B" w:rsidP="00C65E9B">
      <w:pPr>
        <w:ind w:left="360" w:firstLine="0"/>
        <w:rPr>
          <w:color w:val="000000" w:themeColor="text1"/>
        </w:rPr>
      </w:pPr>
    </w:p>
    <w:p w:rsidR="00C65E9B" w:rsidRPr="00C65E9B" w:rsidRDefault="00C65E9B" w:rsidP="00C65E9B">
      <w:pPr>
        <w:pStyle w:val="Paragrafoelenco"/>
        <w:numPr>
          <w:ilvl w:val="0"/>
          <w:numId w:val="10"/>
        </w:numPr>
        <w:rPr>
          <w:b/>
          <w:bCs/>
          <w:color w:val="002060"/>
        </w:rPr>
      </w:pPr>
      <w:r w:rsidRPr="00C65E9B">
        <w:rPr>
          <w:b/>
          <w:bCs/>
          <w:color w:val="002060"/>
        </w:rPr>
        <w:t>L’altra faccia della terza globalizzazione</w:t>
      </w:r>
    </w:p>
    <w:p w:rsidR="00C65E9B" w:rsidRDefault="00C65E9B" w:rsidP="008E494B">
      <w:pPr>
        <w:pStyle w:val="Paragrafoelenco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M. R. Marella, </w:t>
      </w:r>
      <w:r>
        <w:rPr>
          <w:i/>
          <w:iCs/>
          <w:color w:val="000000" w:themeColor="text1"/>
        </w:rPr>
        <w:t>La funzione sociale oltre la proprietà</w:t>
      </w:r>
      <w:r>
        <w:rPr>
          <w:color w:val="000000" w:themeColor="text1"/>
        </w:rPr>
        <w:t xml:space="preserve">, in </w:t>
      </w:r>
      <w:r>
        <w:rPr>
          <w:i/>
          <w:iCs/>
          <w:color w:val="000000" w:themeColor="text1"/>
        </w:rPr>
        <w:t xml:space="preserve">Riv. </w:t>
      </w:r>
      <w:proofErr w:type="spellStart"/>
      <w:r>
        <w:rPr>
          <w:i/>
          <w:iCs/>
          <w:color w:val="000000" w:themeColor="text1"/>
        </w:rPr>
        <w:t>crit</w:t>
      </w:r>
      <w:proofErr w:type="spellEnd"/>
      <w:r>
        <w:rPr>
          <w:i/>
          <w:iCs/>
          <w:color w:val="000000" w:themeColor="text1"/>
        </w:rPr>
        <w:t>. dir. priv.</w:t>
      </w:r>
      <w:r>
        <w:rPr>
          <w:color w:val="000000" w:themeColor="text1"/>
        </w:rPr>
        <w:t>, 2013, pp. 551-568.</w:t>
      </w:r>
    </w:p>
    <w:p w:rsidR="008F2DAA" w:rsidRDefault="008F2DAA" w:rsidP="008F2DAA">
      <w:pPr>
        <w:ind w:left="360" w:firstLine="0"/>
        <w:rPr>
          <w:color w:val="000000" w:themeColor="text1"/>
        </w:rPr>
      </w:pPr>
    </w:p>
    <w:p w:rsidR="008F2DAA" w:rsidRPr="008F2DAA" w:rsidRDefault="008F2DAA" w:rsidP="008F2DAA">
      <w:pPr>
        <w:ind w:left="360" w:firstLine="0"/>
        <w:rPr>
          <w:color w:val="000000" w:themeColor="text1"/>
        </w:rPr>
      </w:pPr>
    </w:p>
    <w:p w:rsidR="00B906C3" w:rsidRPr="00B906C3" w:rsidRDefault="00B906C3" w:rsidP="00B906C3">
      <w:pPr>
        <w:ind w:left="360" w:firstLine="0"/>
        <w:rPr>
          <w:color w:val="000000" w:themeColor="text1"/>
        </w:rPr>
      </w:pPr>
    </w:p>
    <w:p w:rsidR="00B906C3" w:rsidRPr="00B906C3" w:rsidRDefault="00B906C3" w:rsidP="00B906C3">
      <w:pPr>
        <w:ind w:left="360" w:firstLine="0"/>
        <w:rPr>
          <w:color w:val="000000" w:themeColor="text1"/>
        </w:rPr>
      </w:pPr>
    </w:p>
    <w:p w:rsidR="00AB710F" w:rsidRDefault="00AB710F" w:rsidP="00AB710F">
      <w:pPr>
        <w:ind w:left="360" w:firstLine="0"/>
        <w:rPr>
          <w:color w:val="002060"/>
        </w:rPr>
      </w:pPr>
    </w:p>
    <w:p w:rsidR="00AB710F" w:rsidRPr="00AB710F" w:rsidRDefault="00AB710F" w:rsidP="00AB710F">
      <w:pPr>
        <w:ind w:left="360" w:firstLine="0"/>
        <w:rPr>
          <w:color w:val="FF0000"/>
        </w:rPr>
      </w:pPr>
    </w:p>
    <w:p w:rsidR="004B3313" w:rsidRPr="00A36526" w:rsidRDefault="004B3313" w:rsidP="00A36526">
      <w:pPr>
        <w:ind w:left="0" w:firstLine="0"/>
        <w:rPr>
          <w:color w:val="002060"/>
        </w:rPr>
      </w:pPr>
    </w:p>
    <w:p w:rsidR="00D21DAC" w:rsidRDefault="00D21DAC" w:rsidP="00D21DAC">
      <w:pPr>
        <w:pStyle w:val="Paragrafoelenco"/>
        <w:ind w:left="0" w:firstLine="0"/>
        <w:jc w:val="center"/>
      </w:pPr>
    </w:p>
    <w:p w:rsidR="00D21DAC" w:rsidRDefault="00D21DAC" w:rsidP="00D21DAC">
      <w:pPr>
        <w:pStyle w:val="Paragrafoelenco"/>
        <w:ind w:left="0" w:firstLine="0"/>
        <w:jc w:val="center"/>
      </w:pPr>
    </w:p>
    <w:p w:rsidR="00D21DAC" w:rsidRDefault="00D21DAC" w:rsidP="00D21DAC">
      <w:pPr>
        <w:pStyle w:val="Paragrafoelenco"/>
        <w:ind w:left="928" w:firstLine="0"/>
        <w:jc w:val="center"/>
      </w:pPr>
    </w:p>
    <w:sectPr w:rsidR="00D21DAC" w:rsidSect="00D21DAC">
      <w:pgSz w:w="11900" w:h="16840"/>
      <w:pgMar w:top="2552" w:right="1134" w:bottom="22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Corpo CS)">
    <w:altName w:val="Times New Roman"/>
    <w:panose1 w:val="020B0604020202020204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7430B"/>
    <w:multiLevelType w:val="hybridMultilevel"/>
    <w:tmpl w:val="1C94AAFE"/>
    <w:lvl w:ilvl="0" w:tplc="65DC24A4"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 (Corpo CS)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84BC3"/>
    <w:multiLevelType w:val="hybridMultilevel"/>
    <w:tmpl w:val="0CCEB2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D6B88"/>
    <w:multiLevelType w:val="hybridMultilevel"/>
    <w:tmpl w:val="A18E2B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84329"/>
    <w:multiLevelType w:val="hybridMultilevel"/>
    <w:tmpl w:val="6F2A3B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75A46"/>
    <w:multiLevelType w:val="hybridMultilevel"/>
    <w:tmpl w:val="56128B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604FB"/>
    <w:multiLevelType w:val="hybridMultilevel"/>
    <w:tmpl w:val="532655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136079"/>
    <w:multiLevelType w:val="hybridMultilevel"/>
    <w:tmpl w:val="A0AEC40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B74241"/>
    <w:multiLevelType w:val="hybridMultilevel"/>
    <w:tmpl w:val="4E2EC28E"/>
    <w:lvl w:ilvl="0" w:tplc="7A488142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6EA62F27"/>
    <w:multiLevelType w:val="hybridMultilevel"/>
    <w:tmpl w:val="73CA8DF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55500D"/>
    <w:multiLevelType w:val="hybridMultilevel"/>
    <w:tmpl w:val="965A7E6A"/>
    <w:lvl w:ilvl="0" w:tplc="64D6C21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865974">
    <w:abstractNumId w:val="7"/>
  </w:num>
  <w:num w:numId="2" w16cid:durableId="15542979">
    <w:abstractNumId w:val="8"/>
  </w:num>
  <w:num w:numId="3" w16cid:durableId="1364330564">
    <w:abstractNumId w:val="2"/>
  </w:num>
  <w:num w:numId="4" w16cid:durableId="446854592">
    <w:abstractNumId w:val="4"/>
  </w:num>
  <w:num w:numId="5" w16cid:durableId="1364553960">
    <w:abstractNumId w:val="6"/>
  </w:num>
  <w:num w:numId="6" w16cid:durableId="979575202">
    <w:abstractNumId w:val="1"/>
  </w:num>
  <w:num w:numId="7" w16cid:durableId="227612744">
    <w:abstractNumId w:val="9"/>
  </w:num>
  <w:num w:numId="8" w16cid:durableId="773355522">
    <w:abstractNumId w:val="3"/>
  </w:num>
  <w:num w:numId="9" w16cid:durableId="1255895882">
    <w:abstractNumId w:val="0"/>
  </w:num>
  <w:num w:numId="10" w16cid:durableId="20666830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DAC"/>
    <w:rsid w:val="000076AC"/>
    <w:rsid w:val="0007224E"/>
    <w:rsid w:val="00114C64"/>
    <w:rsid w:val="00124ED1"/>
    <w:rsid w:val="00276C2F"/>
    <w:rsid w:val="002A06DE"/>
    <w:rsid w:val="00443478"/>
    <w:rsid w:val="004A374C"/>
    <w:rsid w:val="004B3313"/>
    <w:rsid w:val="004F71C8"/>
    <w:rsid w:val="005118A5"/>
    <w:rsid w:val="006353E4"/>
    <w:rsid w:val="006E574D"/>
    <w:rsid w:val="0077707D"/>
    <w:rsid w:val="007A20E4"/>
    <w:rsid w:val="007B222F"/>
    <w:rsid w:val="00893329"/>
    <w:rsid w:val="008C36A3"/>
    <w:rsid w:val="008E1037"/>
    <w:rsid w:val="008E494B"/>
    <w:rsid w:val="008E7220"/>
    <w:rsid w:val="008F2DAA"/>
    <w:rsid w:val="009344D7"/>
    <w:rsid w:val="009B0B9B"/>
    <w:rsid w:val="00A36526"/>
    <w:rsid w:val="00AB328B"/>
    <w:rsid w:val="00AB710F"/>
    <w:rsid w:val="00AF0F73"/>
    <w:rsid w:val="00B906C3"/>
    <w:rsid w:val="00C63D55"/>
    <w:rsid w:val="00C65E9B"/>
    <w:rsid w:val="00C75F9E"/>
    <w:rsid w:val="00C816ED"/>
    <w:rsid w:val="00CE5567"/>
    <w:rsid w:val="00D21DAC"/>
    <w:rsid w:val="00D479F3"/>
    <w:rsid w:val="00D62691"/>
    <w:rsid w:val="00D9093A"/>
    <w:rsid w:val="00E22FCD"/>
    <w:rsid w:val="00EE2550"/>
    <w:rsid w:val="00F9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68145B7"/>
  <w15:chartTrackingRefBased/>
  <w15:docId w15:val="{236034AF-3916-734C-9170-E081FCEAE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6328"/>
    <w:pPr>
      <w:spacing w:line="360" w:lineRule="auto"/>
      <w:ind w:left="284" w:right="284" w:firstLine="284"/>
      <w:jc w:val="both"/>
    </w:pPr>
    <w:rPr>
      <w:rFonts w:ascii="Garamond" w:hAnsi="Garamond" w:cs="Times New Roman (Corpo CS)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semiHidden/>
    <w:unhideWhenUsed/>
    <w:qFormat/>
    <w:rsid w:val="00F96328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96328"/>
    <w:rPr>
      <w:rFonts w:ascii="Garamond" w:hAnsi="Garamond" w:cs="Times New Roman (Corpo CS)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D21DA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E103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E10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mparazionedirittocivil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Fausto Luigi Caggia</dc:creator>
  <cp:keywords/>
  <dc:description/>
  <cp:lastModifiedBy>Fausto Luigi Caggia</cp:lastModifiedBy>
  <cp:revision>2</cp:revision>
  <dcterms:created xsi:type="dcterms:W3CDTF">2024-09-28T14:35:00Z</dcterms:created>
  <dcterms:modified xsi:type="dcterms:W3CDTF">2024-09-28T14:35:00Z</dcterms:modified>
</cp:coreProperties>
</file>