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897" w:rsidRDefault="00113068" w:rsidP="00AE789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AE7897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TECNICO SUBACQUEO</w:t>
      </w:r>
    </w:p>
    <w:p w:rsidR="00DF07F0" w:rsidRDefault="00DF07F0" w:rsidP="00AE789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E7897" w:rsidRDefault="00AE7897" w:rsidP="00AE789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E7897" w:rsidRDefault="00AE7897" w:rsidP="00AE789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04542F" w:rsidRDefault="0004542F" w:rsidP="00AE789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E7897" w:rsidRDefault="00AE7897" w:rsidP="00FE2A6C">
      <w:pPr>
        <w:spacing w:after="0" w:line="240" w:lineRule="auto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13068" w:rsidRPr="00FE2A6C" w:rsidRDefault="00113068" w:rsidP="0004542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color w:val="FFFFFF"/>
          <w:sz w:val="24"/>
          <w:szCs w:val="24"/>
          <w:lang w:eastAsia="it-IT"/>
        </w:rPr>
      </w:pPr>
      <w:r w:rsidRPr="00AE7897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TECNICO SUBACQUEO</w:t>
      </w:r>
    </w:p>
    <w:p w:rsidR="00113068" w:rsidRPr="00113068" w:rsidRDefault="00113068" w:rsidP="00DF07F0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13068" w:rsidRPr="00113068" w:rsidTr="006F2D4B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113068" w:rsidRPr="00113068" w:rsidRDefault="00113068" w:rsidP="00FE2A6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113068" w:rsidRPr="00113068" w:rsidTr="003C0084">
        <w:trPr>
          <w:jc w:val="center"/>
        </w:trPr>
        <w:tc>
          <w:tcPr>
            <w:tcW w:w="9640" w:type="dxa"/>
          </w:tcPr>
          <w:p w:rsidR="00113068" w:rsidRPr="00113068" w:rsidRDefault="00113068" w:rsidP="00113068">
            <w:pPr>
              <w:spacing w:after="120" w:line="240" w:lineRule="auto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63714D">
              <w:rPr>
                <w:rFonts w:ascii="Arial Narrow" w:eastAsia="Times New Roman" w:hAnsi="Arial Narrow" w:cs="Tahoma"/>
                <w:lang w:eastAsia="it-IT"/>
              </w:rPr>
              <w:t>L’ Operatore Tecnico Subacqueo  è in grado di effettuare immersioni ed emersioni in sicurezza per realizzare rilevazioni, lavorazioni di costruzione e manutenzione in subacquea, provvedere alle operazioni di regolazione e gestione degli interventi in superficie, utilizzando le attrezzature e le apparecchiature adeguate.</w:t>
            </w:r>
            <w:r w:rsidRPr="00113068">
              <w:rPr>
                <w:rFonts w:ascii="MC Candom" w:eastAsia="Times New Roman" w:hAnsi="MC Candom" w:cs="Tahoma"/>
                <w:color w:val="800000"/>
                <w:szCs w:val="24"/>
                <w:lang w:eastAsia="it-IT"/>
              </w:rPr>
              <w:t xml:space="preserve"> </w:t>
            </w:r>
          </w:p>
        </w:tc>
      </w:tr>
    </w:tbl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13068" w:rsidRPr="00113068" w:rsidTr="006F2D4B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113068" w:rsidRPr="00113068" w:rsidRDefault="00113068" w:rsidP="00FE2A6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113068" w:rsidRPr="00113068" w:rsidTr="003C0084">
        <w:trPr>
          <w:cantSplit/>
          <w:trHeight w:val="531"/>
          <w:jc w:val="center"/>
        </w:trPr>
        <w:tc>
          <w:tcPr>
            <w:tcW w:w="10206" w:type="dxa"/>
          </w:tcPr>
          <w:p w:rsidR="00113068" w:rsidRPr="00113068" w:rsidRDefault="00113068" w:rsidP="00113068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Cs w:val="24"/>
                <w:lang w:eastAsia="it-IT"/>
              </w:rPr>
            </w:pPr>
            <w:r w:rsidRPr="0063714D">
              <w:rPr>
                <w:rFonts w:ascii="Arial Narrow" w:eastAsia="Times New Roman" w:hAnsi="Arial Narrow" w:cs="Tahoma"/>
                <w:lang w:eastAsia="it-IT"/>
              </w:rPr>
              <w:t>Erogazione interventi subacquei</w:t>
            </w:r>
          </w:p>
        </w:tc>
      </w:tr>
    </w:tbl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6468"/>
      </w:tblGrid>
      <w:tr w:rsidR="00113068" w:rsidRPr="00113068" w:rsidTr="006F2D4B">
        <w:tc>
          <w:tcPr>
            <w:tcW w:w="9708" w:type="dxa"/>
            <w:gridSpan w:val="2"/>
            <w:shd w:val="clear" w:color="auto" w:fill="4F81BD" w:themeFill="accent1"/>
          </w:tcPr>
          <w:p w:rsidR="00113068" w:rsidRPr="00113068" w:rsidRDefault="00113068" w:rsidP="00FE2A6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113068" w:rsidRPr="00113068" w:rsidTr="003C0084">
        <w:trPr>
          <w:trHeight w:val="363"/>
        </w:trPr>
        <w:tc>
          <w:tcPr>
            <w:tcW w:w="3240" w:type="dxa"/>
          </w:tcPr>
          <w:p w:rsidR="00113068" w:rsidRPr="00113068" w:rsidRDefault="00113068" w:rsidP="0011306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9099F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113068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468" w:type="dxa"/>
            <w:vAlign w:val="center"/>
          </w:tcPr>
          <w:p w:rsidR="00113068" w:rsidRPr="00113068" w:rsidRDefault="00113068" w:rsidP="0011306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9099F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113068" w:rsidRPr="00113068" w:rsidTr="003C0084">
        <w:trPr>
          <w:trHeight w:val="108"/>
        </w:trPr>
        <w:tc>
          <w:tcPr>
            <w:tcW w:w="3240" w:type="dxa"/>
          </w:tcPr>
          <w:p w:rsidR="00113068" w:rsidRPr="0063714D" w:rsidRDefault="00113068" w:rsidP="0011306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3714D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468" w:type="dxa"/>
          </w:tcPr>
          <w:p w:rsidR="00113068" w:rsidRPr="0063714D" w:rsidRDefault="00113068" w:rsidP="00113068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63714D">
              <w:rPr>
                <w:rFonts w:ascii="Arial Narrow" w:eastAsia="Times New Roman" w:hAnsi="Arial Narrow" w:cs="Tahoma"/>
                <w:lang w:eastAsia="it-IT"/>
              </w:rPr>
              <w:t>6.2.1.6.0 Sommozzatori e lavoratori subacquei</w:t>
            </w:r>
          </w:p>
        </w:tc>
      </w:tr>
    </w:tbl>
    <w:p w:rsidR="00113068" w:rsidRPr="00113068" w:rsidRDefault="00113068" w:rsidP="00113068">
      <w:pPr>
        <w:spacing w:after="0" w:line="240" w:lineRule="auto"/>
        <w:rPr>
          <w:rFonts w:ascii="Times New Roman" w:eastAsia="Times New Roman" w:hAnsi="Times New Roman" w:cs="Tahoma"/>
          <w:sz w:val="24"/>
          <w:szCs w:val="24"/>
          <w:lang w:eastAsia="it-IT"/>
        </w:rPr>
      </w:pPr>
    </w:p>
    <w:p w:rsidR="00113068" w:rsidRDefault="00113068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DF07F0" w:rsidRDefault="00DF07F0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  <w:bookmarkStart w:id="0" w:name="_GoBack"/>
      <w:bookmarkEnd w:id="0"/>
    </w:p>
    <w:p w:rsidR="00A21CCC" w:rsidRDefault="00A21CCC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p w:rsidR="000F44A6" w:rsidRPr="00113068" w:rsidRDefault="000F44A6" w:rsidP="00113068">
      <w:pPr>
        <w:spacing w:after="0" w:line="240" w:lineRule="auto"/>
        <w:rPr>
          <w:rFonts w:ascii="Times New Roman" w:eastAsia="Times New Roman" w:hAnsi="Times New Roman" w:cs="Tahoma"/>
          <w:sz w:val="12"/>
          <w:szCs w:val="12"/>
          <w:lang w:eastAsia="it-IT"/>
        </w:rPr>
      </w:pPr>
    </w:p>
    <w:tbl>
      <w:tblPr>
        <w:tblpPr w:leftFromText="141" w:rightFromText="141" w:vertAnchor="text" w:tblpXSpec="center" w:tblpY="1"/>
        <w:tblOverlap w:val="never"/>
        <w:tblW w:w="4834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6"/>
        <w:gridCol w:w="4517"/>
        <w:gridCol w:w="2770"/>
      </w:tblGrid>
      <w:tr w:rsidR="00113068" w:rsidRPr="00113068" w:rsidTr="006F2D4B">
        <w:trPr>
          <w:trHeight w:val="623"/>
        </w:trPr>
        <w:tc>
          <w:tcPr>
            <w:tcW w:w="1146" w:type="pct"/>
            <w:tcBorders>
              <w:bottom w:val="single" w:sz="4" w:space="0" w:color="auto"/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br w:type="page"/>
              <w:t>Unità di competenza</w:t>
            </w:r>
          </w:p>
        </w:tc>
        <w:tc>
          <w:tcPr>
            <w:tcW w:w="2389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1465" w:type="pct"/>
            <w:tcBorders>
              <w:lef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113068" w:rsidRPr="00113068" w:rsidTr="003C0084">
        <w:trPr>
          <w:trHeight w:val="890"/>
        </w:trPr>
        <w:tc>
          <w:tcPr>
            <w:tcW w:w="11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Approntamento attrezzature e apparecchiature lavorazioni subacquee</w:t>
            </w:r>
          </w:p>
        </w:tc>
        <w:tc>
          <w:tcPr>
            <w:tcW w:w="2389" w:type="pct"/>
            <w:tcBorders>
              <w:left w:val="single" w:sz="4" w:space="0" w:color="auto"/>
            </w:tcBorders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le attrezzature e le apparecchiature da utilizzare per le diverse lavorazioni e le relative regolazioni</w:t>
            </w:r>
          </w:p>
        </w:tc>
        <w:tc>
          <w:tcPr>
            <w:tcW w:w="1465" w:type="pct"/>
            <w:vMerge w:val="restart"/>
            <w:vAlign w:val="center"/>
          </w:tcPr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attrezzature, i sistemi, le tecniche di immersione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Le proprietà dei liquidi e dei gas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Il comportamento dei gas e dei corpi solidi 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comportamento della luce e del suono in immersione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fisiologia subacquea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tabelle di decompressione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fisica applicata all’attività subacquea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anatomia e fisiologia subacquea 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Sistemi di comunicazione subacquea 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di immersione/emersione SCUBA ed SSDE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WET BELL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di lavorazione subacquea: taglio, saldatura, costruzione, montaggio, recupero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di rilevazione subacquea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attrezzature per le lavorazioni subacquee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Struttura delle imbarcazioni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Fondamenti di navigazione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Nodi cime e cordami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e procedure di sicurezza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primo soccorso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igiene</w:t>
            </w:r>
          </w:p>
          <w:p w:rsidR="00113068" w:rsidRPr="006960CC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nazionali sui lavori subacquei</w:t>
            </w:r>
          </w:p>
          <w:p w:rsidR="00113068" w:rsidRPr="00113068" w:rsidRDefault="00113068" w:rsidP="006960CC">
            <w:pPr>
              <w:numPr>
                <w:ilvl w:val="0"/>
                <w:numId w:val="7"/>
              </w:numPr>
              <w:spacing w:after="0" w:line="240" w:lineRule="auto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Normative e linee guida internazionali connesse con l’attività subacquea professionale</w:t>
            </w:r>
          </w:p>
        </w:tc>
      </w:tr>
      <w:tr w:rsidR="00113068" w:rsidRPr="00113068" w:rsidTr="003C0084">
        <w:trPr>
          <w:trHeight w:val="892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tcBorders>
              <w:left w:val="single" w:sz="4" w:space="0" w:color="auto"/>
            </w:tcBorders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distinguere la diversa composizione dell’equipaggiamento in funzione degli interventi in subacquea e in superficie da realizzare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730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tcBorders>
              <w:left w:val="single" w:sz="4" w:space="0" w:color="auto"/>
            </w:tcBorders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il corretto funzionamento delle attrezzature e delle apparecchiature 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887"/>
        </w:trPr>
        <w:tc>
          <w:tcPr>
            <w:tcW w:w="11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tcBorders>
              <w:left w:val="single" w:sz="4" w:space="0" w:color="auto"/>
            </w:tcBorders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eventuali anomalie delle attrezzature ed apparecchiature e le irregolarità dell’equipaggiamento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531"/>
        </w:trPr>
        <w:tc>
          <w:tcPr>
            <w:tcW w:w="1146" w:type="pct"/>
            <w:vMerge w:val="restart"/>
            <w:tcBorders>
              <w:top w:val="single" w:sz="4" w:space="0" w:color="auto"/>
            </w:tcBorders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Immersione ed emersione</w:t>
            </w: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principali tecniche di immersione ed emersione per entrare, orientarsi ed uscire dall’acqua in sicurezza</w:t>
            </w:r>
          </w:p>
        </w:tc>
        <w:tc>
          <w:tcPr>
            <w:tcW w:w="1465" w:type="pct"/>
            <w:vMerge/>
            <w:vAlign w:val="center"/>
          </w:tcPr>
          <w:p w:rsidR="00113068" w:rsidRPr="00113068" w:rsidRDefault="00113068" w:rsidP="00113068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284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il proprio stato psico-fisico in relazione ai fattori esogeni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521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i movimenti adeguati ad agire e spostarsi in acqua e a comunicare con l’esterno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685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 rischi e le anomalie connesse alle azioni di immersione ed emersione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911"/>
        </w:trPr>
        <w:tc>
          <w:tcPr>
            <w:tcW w:w="1146" w:type="pct"/>
            <w:vMerge w:val="restart"/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subacquee</w:t>
            </w:r>
          </w:p>
          <w:p w:rsidR="00113068" w:rsidRPr="00E37876" w:rsidRDefault="00113068" w:rsidP="0011306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 distinguere le differenti tipologie di lavorazione subacquea da realizzare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887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ed applicare le sequenze operative proprie delle diverse lavorazioni subacquee da attuare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895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e adottare strumenti in funzione della tipologia di intervento subacqueo da effettuare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790"/>
        </w:trPr>
        <w:tc>
          <w:tcPr>
            <w:tcW w:w="1146" w:type="pct"/>
            <w:vMerge/>
          </w:tcPr>
          <w:p w:rsidR="00113068" w:rsidRPr="00E37876" w:rsidRDefault="00113068" w:rsidP="0011306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 prevenire i rischi per la propria persona e per l’area di lavoro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711"/>
        </w:trPr>
        <w:tc>
          <w:tcPr>
            <w:tcW w:w="1146" w:type="pct"/>
            <w:vMerge w:val="restart"/>
          </w:tcPr>
          <w:p w:rsidR="00113068" w:rsidRPr="00E37876" w:rsidRDefault="00113068" w:rsidP="00113068">
            <w:pPr>
              <w:numPr>
                <w:ilvl w:val="0"/>
                <w:numId w:val="2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procedure di immersione ed emersione</w:t>
            </w: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recepire le finalità, le funzioni e la natura degli interventi da realizzare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902"/>
        </w:trPr>
        <w:tc>
          <w:tcPr>
            <w:tcW w:w="1146" w:type="pct"/>
            <w:vMerge/>
          </w:tcPr>
          <w:p w:rsidR="00113068" w:rsidRPr="00113068" w:rsidRDefault="00113068" w:rsidP="0011306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993300"/>
                <w:sz w:val="20"/>
                <w:szCs w:val="24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interventi correttivi e di regolazione delle operazioni in superficie in relazione alle procedure di immersione ed emersione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700"/>
        </w:trPr>
        <w:tc>
          <w:tcPr>
            <w:tcW w:w="1146" w:type="pct"/>
            <w:vMerge/>
          </w:tcPr>
          <w:p w:rsidR="00113068" w:rsidRPr="00113068" w:rsidRDefault="00113068" w:rsidP="0011306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993300"/>
                <w:sz w:val="20"/>
                <w:szCs w:val="24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le modalità di supporto tecnico più adeguate ad assistere l’operatore in immersione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trHeight w:val="693"/>
        </w:trPr>
        <w:tc>
          <w:tcPr>
            <w:tcW w:w="1146" w:type="pct"/>
            <w:vMerge/>
          </w:tcPr>
          <w:p w:rsidR="00113068" w:rsidRPr="00113068" w:rsidRDefault="00113068" w:rsidP="0011306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993300"/>
                <w:sz w:val="20"/>
                <w:szCs w:val="24"/>
                <w:lang w:eastAsia="it-IT"/>
              </w:rPr>
            </w:pPr>
          </w:p>
        </w:tc>
        <w:tc>
          <w:tcPr>
            <w:tcW w:w="2389" w:type="pct"/>
            <w:vAlign w:val="center"/>
          </w:tcPr>
          <w:p w:rsidR="00113068" w:rsidRPr="006960CC" w:rsidRDefault="00113068" w:rsidP="006960C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960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ed adottare le forme d’intervento più appropriate in caso di emergenze</w:t>
            </w:r>
          </w:p>
        </w:tc>
        <w:tc>
          <w:tcPr>
            <w:tcW w:w="1465" w:type="pct"/>
            <w:vMerge/>
          </w:tcPr>
          <w:p w:rsidR="00113068" w:rsidRPr="00113068" w:rsidRDefault="00113068" w:rsidP="0011306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993300"/>
                <w:sz w:val="20"/>
                <w:szCs w:val="24"/>
                <w:lang w:eastAsia="it-IT"/>
              </w:rPr>
            </w:pPr>
          </w:p>
        </w:tc>
      </w:tr>
    </w:tbl>
    <w:p w:rsidR="00113068" w:rsidRPr="00113068" w:rsidRDefault="00113068" w:rsidP="00113068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31EEA" w:rsidRDefault="00B31EEA" w:rsidP="0011306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B31EEA" w:rsidRDefault="00B31EEA" w:rsidP="0011306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113068" w:rsidRPr="00C9099F" w:rsidRDefault="00113068" w:rsidP="0011306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C9099F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10048" w:type="dxa"/>
        <w:tblInd w:w="-11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1958"/>
        <w:gridCol w:w="3160"/>
        <w:gridCol w:w="1980"/>
        <w:gridCol w:w="868"/>
      </w:tblGrid>
      <w:tr w:rsidR="00113068" w:rsidRPr="00113068" w:rsidTr="006F2D4B">
        <w:trPr>
          <w:trHeight w:val="575"/>
        </w:trPr>
        <w:tc>
          <w:tcPr>
            <w:tcW w:w="2082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5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1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868" w:type="dxa"/>
            <w:tcBorders>
              <w:left w:val="nil"/>
            </w:tcBorders>
            <w:shd w:val="clear" w:color="auto" w:fill="4F81BD" w:themeFill="accent1"/>
            <w:vAlign w:val="center"/>
          </w:tcPr>
          <w:p w:rsidR="00113068" w:rsidRPr="00FE2A6C" w:rsidRDefault="00113068" w:rsidP="00FE2A6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E2A6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113068" w:rsidRPr="00113068" w:rsidTr="003C0084">
        <w:trPr>
          <w:cantSplit/>
          <w:trHeight w:val="938"/>
        </w:trPr>
        <w:tc>
          <w:tcPr>
            <w:tcW w:w="2082" w:type="dxa"/>
          </w:tcPr>
          <w:p w:rsidR="00113068" w:rsidRPr="00E37876" w:rsidRDefault="00113068" w:rsidP="00113068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Approntamento attrezzature e apparecchiature lavorazioni subacquee </w:t>
            </w:r>
          </w:p>
        </w:tc>
        <w:tc>
          <w:tcPr>
            <w:tcW w:w="1958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approntamento delle attrezzature e delle apparecchiature delle lavorazioni subacquee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316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assemblaggio delle attrezzature e apparecchiature per le specifiche lavorazioni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delle attrezzature e delle apparecchiature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regolazione delle attrezzature e delle apparecchiature in superficie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rilevazione di eventuali anomalie 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vestizione ed equipaggiamento dell’operatore </w:t>
            </w:r>
          </w:p>
        </w:tc>
        <w:tc>
          <w:tcPr>
            <w:tcW w:w="198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Attrezzature e apparecchiature predisposte in condizioni di efficienza e sicurezza secondo le procedure previste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868" w:type="dxa"/>
            <w:vMerge w:val="restart"/>
            <w:textDirection w:val="tbRl"/>
            <w:vAlign w:val="center"/>
          </w:tcPr>
          <w:p w:rsidR="00113068" w:rsidRPr="00113068" w:rsidRDefault="00113068" w:rsidP="0011306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113068" w:rsidRPr="00113068" w:rsidRDefault="00113068" w:rsidP="00B31EEA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113068" w:rsidRPr="00113068" w:rsidTr="003C0084">
        <w:trPr>
          <w:cantSplit/>
        </w:trPr>
        <w:tc>
          <w:tcPr>
            <w:tcW w:w="2082" w:type="dxa"/>
          </w:tcPr>
          <w:p w:rsidR="00113068" w:rsidRPr="00E37876" w:rsidRDefault="00113068" w:rsidP="00113068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Immersione ed emersione</w:t>
            </w:r>
          </w:p>
        </w:tc>
        <w:tc>
          <w:tcPr>
            <w:tcW w:w="1958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immersione ed emersione</w:t>
            </w:r>
          </w:p>
        </w:tc>
        <w:tc>
          <w:tcPr>
            <w:tcW w:w="316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ingresso in acqua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comunicazione interna ed esterna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regolazione delle proprie condizioni psico-fisiche in relazioni ai mutamenti fisico climatici 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movimentazione del corpo in immersione ed emersione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di interventi di emergenza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fuoriuscita dall’acqua</w:t>
            </w:r>
          </w:p>
        </w:tc>
        <w:tc>
          <w:tcPr>
            <w:tcW w:w="198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Immersione ed emersione effettuati in sicurezza secondo le procedure previste</w:t>
            </w:r>
          </w:p>
        </w:tc>
        <w:tc>
          <w:tcPr>
            <w:tcW w:w="868" w:type="dxa"/>
            <w:vMerge/>
          </w:tcPr>
          <w:p w:rsidR="00113068" w:rsidRPr="00113068" w:rsidRDefault="00113068" w:rsidP="0011306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cantSplit/>
        </w:trPr>
        <w:tc>
          <w:tcPr>
            <w:tcW w:w="2082" w:type="dxa"/>
          </w:tcPr>
          <w:p w:rsidR="00113068" w:rsidRPr="00E37876" w:rsidRDefault="00113068" w:rsidP="00113068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subacquee</w:t>
            </w:r>
          </w:p>
          <w:p w:rsidR="00113068" w:rsidRPr="00E37876" w:rsidRDefault="00113068" w:rsidP="0011306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8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lavorazioni subacquee</w:t>
            </w:r>
          </w:p>
        </w:tc>
        <w:tc>
          <w:tcPr>
            <w:tcW w:w="316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di rilevazioni subacquee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esecuzione di lavorazioni subacquee di costruzione e manutenzione </w:t>
            </w:r>
          </w:p>
        </w:tc>
        <w:tc>
          <w:tcPr>
            <w:tcW w:w="198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Lavorazioni subacquee effettuate in sicurezza secondo le procedure previste</w:t>
            </w:r>
          </w:p>
        </w:tc>
        <w:tc>
          <w:tcPr>
            <w:tcW w:w="868" w:type="dxa"/>
            <w:vMerge/>
          </w:tcPr>
          <w:p w:rsidR="00113068" w:rsidRPr="00113068" w:rsidRDefault="00113068" w:rsidP="0011306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113068" w:rsidRPr="00113068" w:rsidTr="003C0084">
        <w:trPr>
          <w:cantSplit/>
        </w:trPr>
        <w:tc>
          <w:tcPr>
            <w:tcW w:w="2082" w:type="dxa"/>
          </w:tcPr>
          <w:p w:rsidR="00113068" w:rsidRPr="00E37876" w:rsidRDefault="00113068" w:rsidP="00113068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bookmarkStart w:id="1" w:name="OLE_LINK1"/>
            <w:bookmarkStart w:id="2" w:name="OLE_LINK2"/>
            <w:r w:rsidRPr="00E37876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procedure di immersione ed emersione</w:t>
            </w:r>
          </w:p>
          <w:bookmarkEnd w:id="1"/>
          <w:bookmarkEnd w:id="2"/>
          <w:p w:rsidR="00113068" w:rsidRPr="00E37876" w:rsidRDefault="00113068" w:rsidP="0011306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58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gestione delle procedure di immersione ed emersione </w:t>
            </w:r>
          </w:p>
        </w:tc>
        <w:tc>
          <w:tcPr>
            <w:tcW w:w="316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coordinamento delle operazioni di immersione ed emersione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lavorazioni in superficie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supporto tecnico all’operatore</w:t>
            </w:r>
          </w:p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di un piano d’intervento in caso di emergenza</w:t>
            </w:r>
          </w:p>
        </w:tc>
        <w:tc>
          <w:tcPr>
            <w:tcW w:w="1980" w:type="dxa"/>
          </w:tcPr>
          <w:p w:rsidR="00113068" w:rsidRPr="00B31EEA" w:rsidRDefault="00113068" w:rsidP="00B31E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31E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Procedure d’immersione ed emersione regolate secondo le modalità previste</w:t>
            </w:r>
          </w:p>
        </w:tc>
        <w:tc>
          <w:tcPr>
            <w:tcW w:w="868" w:type="dxa"/>
            <w:vMerge/>
          </w:tcPr>
          <w:p w:rsidR="00113068" w:rsidRPr="00113068" w:rsidRDefault="00113068" w:rsidP="0011306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113068" w:rsidRPr="00113068" w:rsidRDefault="00113068" w:rsidP="00113068">
      <w:pPr>
        <w:spacing w:after="0" w:line="240" w:lineRule="auto"/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</w:pPr>
    </w:p>
    <w:p w:rsidR="00A26CCD" w:rsidRDefault="006461BC"/>
    <w:sectPr w:rsidR="00A26CCD" w:rsidSect="00FA4732">
      <w:footerReference w:type="even" r:id="rId8"/>
      <w:footerReference w:type="default" r:id="rId9"/>
      <w:pgSz w:w="11906" w:h="16838"/>
      <w:pgMar w:top="1079" w:right="1134" w:bottom="1134" w:left="1134" w:header="357" w:footer="907" w:gutter="0"/>
      <w:pgBorders w:offsetFrom="page">
        <w:top w:val="couponCutoutDots" w:sz="18" w:space="24" w:color="800000"/>
        <w:left w:val="couponCutoutDots" w:sz="18" w:space="24" w:color="800000"/>
        <w:bottom w:val="couponCutoutDots" w:sz="18" w:space="24" w:color="800000"/>
        <w:right w:val="couponCutoutDots" w:sz="18" w:space="24" w:color="8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1BC" w:rsidRDefault="006461BC">
      <w:pPr>
        <w:spacing w:after="0" w:line="240" w:lineRule="auto"/>
      </w:pPr>
      <w:r>
        <w:separator/>
      </w:r>
    </w:p>
  </w:endnote>
  <w:endnote w:type="continuationSeparator" w:id="0">
    <w:p w:rsidR="006461BC" w:rsidRDefault="00646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124" w:rsidRDefault="0011306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032124" w:rsidRDefault="006461BC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124" w:rsidRDefault="00113068" w:rsidP="00194E4A">
    <w:pPr>
      <w:pStyle w:val="Pidipagina"/>
      <w:framePr w:w="10255" w:h="543" w:hRule="exact" w:wrap="around" w:vAnchor="text" w:hAnchor="page" w:x="955" w:y="-506"/>
      <w:jc w:val="center"/>
      <w:rPr>
        <w:rStyle w:val="Numeropagina"/>
      </w:rPr>
    </w:pPr>
    <w:r>
      <w:rPr>
        <w:rStyle w:val="Numeropagina"/>
        <w:rFonts w:ascii="MC Candom" w:hAnsi="MC Candom"/>
        <w:color w:val="800000"/>
        <w:sz w:val="20"/>
      </w:rPr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DF07F0">
      <w:rPr>
        <w:rStyle w:val="Numeropagina"/>
        <w:rFonts w:ascii="MC Candom" w:hAnsi="MC Candom"/>
        <w:noProof/>
        <w:color w:val="800000"/>
        <w:sz w:val="20"/>
      </w:rPr>
      <w:t>3</w:t>
    </w:r>
    <w:r>
      <w:rPr>
        <w:rStyle w:val="Numeropagina"/>
      </w:rPr>
      <w:fldChar w:fldCharType="end"/>
    </w:r>
  </w:p>
  <w:p w:rsidR="00032124" w:rsidRDefault="00113068" w:rsidP="00194E4A">
    <w:pPr>
      <w:pStyle w:val="Pidipagina"/>
      <w:framePr w:w="10255" w:h="543" w:hRule="exact" w:wrap="around" w:vAnchor="text" w:hAnchor="page" w:x="955" w:y="-506"/>
      <w:jc w:val="center"/>
      <w:rPr>
        <w:rStyle w:val="Numeropagina"/>
        <w:sz w:val="18"/>
      </w:rPr>
    </w:pPr>
    <w:r>
      <w:rPr>
        <w:rStyle w:val="Numeropagina"/>
        <w:rFonts w:ascii="MC Candom" w:hAnsi="MC Candom"/>
        <w:color w:val="800000"/>
        <w:sz w:val="20"/>
      </w:rPr>
      <w:tab/>
    </w:r>
    <w:r>
      <w:rPr>
        <w:rStyle w:val="Numeropagina"/>
        <w:rFonts w:ascii="MC Candom" w:hAnsi="MC Candom"/>
        <w:color w:val="800000"/>
        <w:sz w:val="20"/>
      </w:rPr>
      <w:tab/>
    </w:r>
  </w:p>
  <w:p w:rsidR="00032124" w:rsidRDefault="006461BC">
    <w:pPr>
      <w:pStyle w:val="Pidipagina"/>
      <w:framePr w:wrap="auto" w:hAnchor="text" w:y="-5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1BC" w:rsidRDefault="006461BC">
      <w:pPr>
        <w:spacing w:after="0" w:line="240" w:lineRule="auto"/>
      </w:pPr>
      <w:r>
        <w:separator/>
      </w:r>
    </w:p>
  </w:footnote>
  <w:footnote w:type="continuationSeparator" w:id="0">
    <w:p w:rsidR="006461BC" w:rsidRDefault="006461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991107"/>
    <w:multiLevelType w:val="hybridMultilevel"/>
    <w:tmpl w:val="F7F87576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6B1138"/>
    <w:multiLevelType w:val="hybridMultilevel"/>
    <w:tmpl w:val="AA60C72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046A3B"/>
    <w:multiLevelType w:val="hybridMultilevel"/>
    <w:tmpl w:val="3DB2289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4D4E84"/>
    <w:multiLevelType w:val="hybridMultilevel"/>
    <w:tmpl w:val="B0B241C0"/>
    <w:lvl w:ilvl="0" w:tplc="84E60E86">
      <w:start w:val="1"/>
      <w:numFmt w:val="bullet"/>
      <w:lvlText w:val="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AA2FA9"/>
    <w:multiLevelType w:val="multilevel"/>
    <w:tmpl w:val="9E84B1B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7CEB23A7"/>
    <w:multiLevelType w:val="hybridMultilevel"/>
    <w:tmpl w:val="F3F6BE52"/>
    <w:lvl w:ilvl="0" w:tplc="84E60E86">
      <w:start w:val="1"/>
      <w:numFmt w:val="bullet"/>
      <w:lvlText w:val="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DA"/>
    <w:rsid w:val="0004542F"/>
    <w:rsid w:val="000F44A6"/>
    <w:rsid w:val="00107C0B"/>
    <w:rsid w:val="00113068"/>
    <w:rsid w:val="0063714D"/>
    <w:rsid w:val="006461BC"/>
    <w:rsid w:val="006960CC"/>
    <w:rsid w:val="006F2D4B"/>
    <w:rsid w:val="00A21CCC"/>
    <w:rsid w:val="00AE7897"/>
    <w:rsid w:val="00B31EEA"/>
    <w:rsid w:val="00B35287"/>
    <w:rsid w:val="00C9099F"/>
    <w:rsid w:val="00DC72DA"/>
    <w:rsid w:val="00DF07F0"/>
    <w:rsid w:val="00E37876"/>
    <w:rsid w:val="00EA0D07"/>
    <w:rsid w:val="00FE2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11306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306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13068"/>
  </w:style>
  <w:style w:type="paragraph" w:styleId="Intestazione">
    <w:name w:val="header"/>
    <w:basedOn w:val="Normale"/>
    <w:link w:val="IntestazioneCarattere"/>
    <w:uiPriority w:val="99"/>
    <w:unhideWhenUsed/>
    <w:rsid w:val="006F2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2D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113068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113068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113068"/>
  </w:style>
  <w:style w:type="paragraph" w:styleId="Intestazione">
    <w:name w:val="header"/>
    <w:basedOn w:val="Normale"/>
    <w:link w:val="IntestazioneCarattere"/>
    <w:uiPriority w:val="99"/>
    <w:unhideWhenUsed/>
    <w:rsid w:val="006F2D4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F2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772</Words>
  <Characters>4403</Characters>
  <Application>Microsoft Office Word</Application>
  <DocSecurity>0</DocSecurity>
  <Lines>36</Lines>
  <Paragraphs>10</Paragraphs>
  <ScaleCrop>false</ScaleCrop>
  <Company/>
  <LinksUpToDate>false</LinksUpToDate>
  <CharactersWithSpaces>5165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14</cp:revision>
  <dcterms:created xsi:type="dcterms:W3CDTF">2013-07-24T10:52:00Z</dcterms:created>
  <dcterms:modified xsi:type="dcterms:W3CDTF">2013-07-25T08:51:00Z</dcterms:modified>
</cp:coreProperties>
</file>