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0A" w:rsidRPr="003F530A" w:rsidRDefault="003F530A" w:rsidP="003F530A">
      <w:pPr>
        <w:keepNext/>
        <w:spacing w:after="0" w:line="240" w:lineRule="auto"/>
        <w:jc w:val="center"/>
        <w:outlineLvl w:val="5"/>
        <w:rPr>
          <w:rFonts w:ascii="Lucida Handwriting" w:eastAsia="Times New Roman" w:hAnsi="Lucida Handwriting" w:cs="Tahoma"/>
          <w:bCs/>
          <w:smallCaps/>
          <w:color w:val="7D2D00"/>
          <w:sz w:val="24"/>
          <w:szCs w:val="24"/>
          <w:lang w:eastAsia="it-IT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530A" w:rsidRPr="000E0D6D" w:rsidRDefault="003F530A" w:rsidP="000E0D6D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0E0D6D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Tecnico amministrazione, finanza e controllo di gestione</w:t>
      </w: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imes New Roman"/>
          <w:color w:val="7D2D00"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3F530A" w:rsidRPr="003F530A" w:rsidTr="007B74FC">
        <w:tc>
          <w:tcPr>
            <w:tcW w:w="5000" w:type="pct"/>
            <w:shd w:val="clear" w:color="auto" w:fill="4F81BD" w:themeFill="accent1"/>
          </w:tcPr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Descrizione sintetica</w:t>
            </w:r>
          </w:p>
        </w:tc>
      </w:tr>
      <w:tr w:rsidR="003F530A" w:rsidRPr="003F530A" w:rsidTr="00037FDE">
        <w:tc>
          <w:tcPr>
            <w:tcW w:w="5000" w:type="pct"/>
          </w:tcPr>
          <w:p w:rsidR="003F530A" w:rsidRPr="000410D3" w:rsidRDefault="003F530A" w:rsidP="003F530A">
            <w:pPr>
              <w:spacing w:after="120" w:line="240" w:lineRule="auto"/>
              <w:jc w:val="both"/>
              <w:rPr>
                <w:rFonts w:ascii="Arial Narrow" w:eastAsia="Times New Roman" w:hAnsi="Arial Narrow" w:cs="Tahoma"/>
                <w:color w:val="7D2D00"/>
                <w:szCs w:val="24"/>
                <w:lang w:eastAsia="it-IT"/>
              </w:rPr>
            </w:pPr>
            <w:r w:rsidRPr="00B0050D">
              <w:rPr>
                <w:rFonts w:ascii="Arial Narrow" w:eastAsia="Times New Roman" w:hAnsi="Arial Narrow" w:cs="Times New Roman"/>
                <w:lang w:eastAsia="it-IT"/>
              </w:rPr>
              <w:t xml:space="preserve">Il </w:t>
            </w:r>
            <w:proofErr w:type="spellStart"/>
            <w:r w:rsidRPr="00B0050D">
              <w:rPr>
                <w:rFonts w:ascii="Arial Narrow" w:eastAsia="Times New Roman" w:hAnsi="Arial Narrow" w:cs="Times New Roman"/>
                <w:lang w:eastAsia="it-IT"/>
              </w:rPr>
              <w:t>TecnIco</w:t>
            </w:r>
            <w:proofErr w:type="spellEnd"/>
            <w:r w:rsidRPr="00B0050D">
              <w:rPr>
                <w:rFonts w:ascii="Arial Narrow" w:eastAsia="Times New Roman" w:hAnsi="Arial Narrow" w:cs="Times New Roman"/>
                <w:lang w:eastAsia="it-IT"/>
              </w:rPr>
              <w:t xml:space="preserve"> amministrazione, finanza e controllo di gestione è in grado di sviluppare il sistema contabile aziendale e analizzare i dati significativi della gestione d’impresa per l’elaborazione di previsioni e monitoraggi dell’andamento economico-finanziario, garantendo il presidio dei rapporti con il sistema creditizio.</w:t>
            </w:r>
            <w:r w:rsidRPr="000410D3">
              <w:rPr>
                <w:rFonts w:ascii="Arial Narrow" w:eastAsia="Times New Roman" w:hAnsi="Arial Narrow" w:cs="Tahoma"/>
                <w:color w:val="7D2D00"/>
                <w:szCs w:val="24"/>
                <w:lang w:eastAsia="it-IT"/>
              </w:rPr>
              <w:t xml:space="preserve"> </w:t>
            </w:r>
          </w:p>
        </w:tc>
      </w:tr>
    </w:tbl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3F530A" w:rsidRPr="003F530A" w:rsidTr="007B74FC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3F530A" w:rsidRPr="000410D3" w:rsidTr="00037FDE">
        <w:trPr>
          <w:cantSplit/>
          <w:trHeight w:val="531"/>
        </w:trPr>
        <w:tc>
          <w:tcPr>
            <w:tcW w:w="5000" w:type="pct"/>
          </w:tcPr>
          <w:p w:rsidR="003F530A" w:rsidRPr="000410D3" w:rsidRDefault="003F530A" w:rsidP="003F530A">
            <w:pPr>
              <w:spacing w:before="120" w:after="120" w:line="240" w:lineRule="auto"/>
              <w:rPr>
                <w:rFonts w:ascii="Arial Narrow" w:eastAsia="Times New Roman" w:hAnsi="Arial Narrow" w:cs="Times New Roman"/>
                <w:color w:val="7D2D00"/>
                <w:szCs w:val="24"/>
                <w:lang w:eastAsia="it-IT"/>
              </w:rPr>
            </w:pPr>
            <w:r w:rsidRPr="00B0050D">
              <w:rPr>
                <w:rFonts w:ascii="Arial Narrow" w:eastAsia="Times New Roman" w:hAnsi="Arial Narrow" w:cs="Times New Roman"/>
                <w:lang w:eastAsia="it-IT"/>
              </w:rPr>
              <w:t>Amministrazione e controllo d’impresa</w:t>
            </w:r>
          </w:p>
        </w:tc>
      </w:tr>
    </w:tbl>
    <w:p w:rsidR="003F530A" w:rsidRPr="000410D3" w:rsidRDefault="003F530A" w:rsidP="000410D3">
      <w:pPr>
        <w:spacing w:before="120" w:after="120" w:line="240" w:lineRule="auto"/>
        <w:rPr>
          <w:rFonts w:ascii="Arial Narrow" w:eastAsia="Times New Roman" w:hAnsi="Arial Narrow" w:cs="Times New Roman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3F530A" w:rsidRPr="003F530A" w:rsidTr="007B74FC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3F530A" w:rsidRPr="003F530A" w:rsidTr="00037FDE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3F530A" w:rsidRDefault="003F530A" w:rsidP="00EB670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B670C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3F530A"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3F530A" w:rsidRDefault="003F530A" w:rsidP="00EB670C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color w:val="7D2D00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EB670C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3F530A" w:rsidRPr="003F530A" w:rsidTr="00037FDE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EB670C" w:rsidRDefault="003F530A" w:rsidP="003F530A">
            <w:pPr>
              <w:spacing w:before="60" w:after="40" w:line="240" w:lineRule="auto"/>
              <w:rPr>
                <w:rFonts w:ascii="Arial Narrow" w:eastAsia="Times New Roman" w:hAnsi="Arial Narrow" w:cs="Tahoma"/>
                <w:b/>
                <w:i/>
                <w:iCs/>
                <w:color w:val="7D2D00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B670C">
              <w:rPr>
                <w:rFonts w:ascii="Arial Narrow" w:eastAsia="Times New Roman" w:hAnsi="Arial Narrow" w:cs="Times New Roman"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EB670C" w:rsidRDefault="003F530A" w:rsidP="003F530A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Tahoma"/>
                <w:color w:val="7D2D00"/>
                <w:lang w:eastAsia="it-IT"/>
              </w:rPr>
            </w:pPr>
            <w:r w:rsidRPr="00EB670C">
              <w:rPr>
                <w:rFonts w:ascii="Arial Narrow" w:eastAsia="Times New Roman" w:hAnsi="Arial Narrow" w:cs="Times New Roman"/>
                <w:lang w:eastAsia="it-IT"/>
              </w:rPr>
              <w:t>3.3.1.2 Contabili e assimilati</w:t>
            </w:r>
            <w:r w:rsidRPr="00EB670C">
              <w:rPr>
                <w:rFonts w:ascii="Arial Narrow" w:eastAsia="Times New Roman" w:hAnsi="Arial Narrow" w:cs="Times New Roman"/>
                <w:lang w:eastAsia="it-IT"/>
              </w:rPr>
              <w:br/>
              <w:t>4.1.2.3.0 Addetti a compiti di controllo e verifica</w:t>
            </w:r>
          </w:p>
        </w:tc>
      </w:tr>
      <w:tr w:rsidR="003F530A" w:rsidRPr="003F530A" w:rsidTr="00037FDE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EB670C" w:rsidRDefault="003F530A" w:rsidP="003F530A">
            <w:pPr>
              <w:spacing w:before="60" w:after="40" w:line="240" w:lineRule="auto"/>
              <w:rPr>
                <w:rFonts w:ascii="Arial Narrow" w:eastAsia="Times New Roman" w:hAnsi="Arial Narrow" w:cs="Tahoma"/>
                <w:b/>
                <w:i/>
                <w:iCs/>
                <w:color w:val="7D2D00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B670C">
              <w:rPr>
                <w:rFonts w:ascii="Arial Narrow" w:eastAsia="Times New Roman" w:hAnsi="Arial Narrow" w:cs="Times New Roman"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3F530A" w:rsidRPr="00EB670C" w:rsidRDefault="003F530A" w:rsidP="003F530A">
            <w:pPr>
              <w:spacing w:before="100" w:beforeAutospacing="1" w:after="100" w:afterAutospacing="1" w:line="240" w:lineRule="auto"/>
              <w:rPr>
                <w:rFonts w:ascii="Arial Narrow" w:eastAsia="Arial Unicode MS" w:hAnsi="Arial Narrow" w:cs="Arial Unicode MS"/>
                <w:lang w:eastAsia="it-IT"/>
              </w:rPr>
            </w:pPr>
            <w:r w:rsidRPr="00EB670C">
              <w:rPr>
                <w:rFonts w:ascii="Arial Narrow" w:eastAsia="Arial Unicode MS" w:hAnsi="Arial Narrow" w:cs="Arial Unicode MS"/>
                <w:lang w:eastAsia="it-IT"/>
              </w:rPr>
              <w:t>Amministrazione e finanza d'impresa</w:t>
            </w:r>
            <w:r w:rsidRPr="00EB670C">
              <w:rPr>
                <w:rFonts w:ascii="Arial Narrow" w:eastAsia="Arial Unicode MS" w:hAnsi="Arial Narrow" w:cs="Arial Unicode MS"/>
                <w:lang w:eastAsia="it-IT"/>
              </w:rPr>
              <w:br/>
              <w:t>- Il controller o il responsabile del controllo di gestione</w:t>
            </w:r>
            <w:r w:rsidRPr="00EB670C">
              <w:rPr>
                <w:rFonts w:ascii="Arial Narrow" w:eastAsia="Arial Unicode MS" w:hAnsi="Arial Narrow" w:cs="Arial Unicode MS"/>
                <w:lang w:eastAsia="it-IT"/>
              </w:rPr>
              <w:br/>
              <w:t>- Il responsabile della contabilità generale e industriale</w:t>
            </w:r>
          </w:p>
        </w:tc>
      </w:tr>
    </w:tbl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ahoma"/>
          <w:color w:val="7D2D00"/>
          <w:sz w:val="16"/>
          <w:szCs w:val="24"/>
          <w:lang w:eastAsia="it-IT"/>
        </w:rPr>
      </w:pPr>
      <w:r w:rsidRPr="003F530A">
        <w:rPr>
          <w:rFonts w:ascii="MC Candom" w:eastAsia="Times New Roman" w:hAnsi="MC Candom" w:cs="Tahoma"/>
          <w:color w:val="7D2D00"/>
          <w:szCs w:val="24"/>
          <w:lang w:eastAsia="it-IT"/>
        </w:rPr>
        <w:br w:type="page"/>
      </w:r>
    </w:p>
    <w:tbl>
      <w:tblPr>
        <w:tblW w:w="10080" w:type="dxa"/>
        <w:tblInd w:w="-110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5400"/>
        <w:gridCol w:w="2340"/>
      </w:tblGrid>
      <w:tr w:rsidR="003F530A" w:rsidRPr="003F530A" w:rsidTr="007B74FC">
        <w:tc>
          <w:tcPr>
            <w:tcW w:w="234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lastRenderedPageBreak/>
              <w:t>Unità di competenza</w:t>
            </w:r>
          </w:p>
        </w:tc>
        <w:tc>
          <w:tcPr>
            <w:tcW w:w="540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F530A" w:rsidRPr="00F851F4" w:rsidRDefault="003F530A" w:rsidP="00F851F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 xml:space="preserve">Capacità </w:t>
            </w:r>
          </w:p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i/>
                <w:i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(essere in grado di)</w:t>
            </w:r>
          </w:p>
        </w:tc>
        <w:tc>
          <w:tcPr>
            <w:tcW w:w="2340" w:type="dxa"/>
            <w:tcBorders>
              <w:left w:val="nil"/>
            </w:tcBorders>
            <w:shd w:val="clear" w:color="auto" w:fill="4F81BD" w:themeFill="accent1"/>
            <w:vAlign w:val="center"/>
          </w:tcPr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Conoscenze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(conoscere)</w:t>
            </w:r>
          </w:p>
        </w:tc>
      </w:tr>
      <w:tr w:rsidR="003F530A" w:rsidRPr="003F530A" w:rsidTr="00037FDE">
        <w:trPr>
          <w:cantSplit/>
          <w:trHeight w:val="189"/>
        </w:trPr>
        <w:tc>
          <w:tcPr>
            <w:tcW w:w="2340" w:type="dxa"/>
            <w:vMerge w:val="restart"/>
          </w:tcPr>
          <w:p w:rsidR="003F530A" w:rsidRPr="008B6AA2" w:rsidRDefault="003F530A" w:rsidP="008B6AA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B6AA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 Strutturazione sistema di contabilità generale e analitica</w:t>
            </w:r>
          </w:p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definire finalità, logica generale e criteri per la progettazione del sistema di contabilità generale e analitica</w:t>
            </w:r>
          </w:p>
        </w:tc>
        <w:tc>
          <w:tcPr>
            <w:tcW w:w="2340" w:type="dxa"/>
            <w:vMerge w:val="restart"/>
            <w:vAlign w:val="center"/>
          </w:tcPr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Fondamenti di organizzazione aziendale: struttura, funzioni e processi lavorativi 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Funzione, caratteristiche e logiche dei sistemi di pianificazione e controllo di gestione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Discipline e tecniche di contabilità generale 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Metodologie e strumenti  di contabilità analitica 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Logiche di funzionamento dei software applicativi di contabilità e di contabilità integrata 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Modelli e criteri di progettazione dei sistemi di </w:t>
            </w:r>
            <w:proofErr w:type="spellStart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bugeting</w:t>
            </w:r>
            <w:proofErr w:type="spellEnd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 e reporting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Tecniche di </w:t>
            </w:r>
            <w:proofErr w:type="spellStart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budgeting</w:t>
            </w:r>
            <w:proofErr w:type="spellEnd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 e reporting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Elementi di analisi matematica e statistica</w:t>
            </w:r>
          </w:p>
          <w:p w:rsidR="003F530A" w:rsidRPr="00355CF0" w:rsidRDefault="003F530A" w:rsidP="00355CF0">
            <w:pPr>
              <w:pStyle w:val="Paragrafoelenco"/>
              <w:numPr>
                <w:ilvl w:val="0"/>
                <w:numId w:val="9"/>
              </w:num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Principi di finanza aziendale ed elementi di tecnica bancaria</w:t>
            </w:r>
          </w:p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</w:p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</w:p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187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individuare strumenti e procedure di rilevazione delle variabili economiche aziendali </w:t>
            </w:r>
          </w:p>
        </w:tc>
        <w:tc>
          <w:tcPr>
            <w:tcW w:w="2340" w:type="dxa"/>
            <w:vMerge/>
            <w:vAlign w:val="center"/>
          </w:tcPr>
          <w:p w:rsidR="003F530A" w:rsidRPr="003F530A" w:rsidRDefault="003F530A" w:rsidP="003F530A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187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valutare completezza, rilevanza, certezza e timing dei dati di contabilità generale ed analitica</w:t>
            </w:r>
          </w:p>
        </w:tc>
        <w:tc>
          <w:tcPr>
            <w:tcW w:w="2340" w:type="dxa"/>
            <w:vMerge/>
            <w:vAlign w:val="center"/>
          </w:tcPr>
          <w:p w:rsidR="003F530A" w:rsidRPr="003F530A" w:rsidRDefault="003F530A" w:rsidP="003F530A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187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valutare caratteristiche e potenzialità del software gestionale per la rilevazione delle variabili economiche in coerenza con il sistema informativo aziendale</w:t>
            </w:r>
          </w:p>
        </w:tc>
        <w:tc>
          <w:tcPr>
            <w:tcW w:w="2340" w:type="dxa"/>
            <w:vMerge/>
            <w:vAlign w:val="center"/>
          </w:tcPr>
          <w:p w:rsidR="003F530A" w:rsidRPr="003F530A" w:rsidRDefault="003F530A" w:rsidP="003F530A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551"/>
        </w:trPr>
        <w:tc>
          <w:tcPr>
            <w:tcW w:w="2340" w:type="dxa"/>
            <w:vMerge w:val="restart"/>
          </w:tcPr>
          <w:p w:rsidR="003F530A" w:rsidRPr="008B6AA2" w:rsidRDefault="003F530A" w:rsidP="008B6AA2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B6AA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Pr="008B6AA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ab/>
              <w:t>Formulazione budget</w:t>
            </w:r>
          </w:p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ahoma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  <w:tcBorders>
              <w:bottom w:val="single" w:sz="4" w:space="0" w:color="7D2D00"/>
            </w:tcBorders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definire struttura, finalità e contenuti del budget generale e quello dei vari sottosistemi aziendali (produzione, vendita, acquisti, ecc.)</w:t>
            </w:r>
          </w:p>
        </w:tc>
        <w:tc>
          <w:tcPr>
            <w:tcW w:w="2340" w:type="dxa"/>
            <w:vMerge/>
            <w:vAlign w:val="center"/>
          </w:tcPr>
          <w:p w:rsidR="003F530A" w:rsidRPr="003F530A" w:rsidRDefault="003F530A" w:rsidP="003F530A">
            <w:pPr>
              <w:numPr>
                <w:ilvl w:val="0"/>
                <w:numId w:val="2"/>
              </w:numPr>
              <w:spacing w:before="120" w:after="120" w:line="240" w:lineRule="auto"/>
              <w:ind w:left="313" w:hanging="284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0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numPr>
                <w:ilvl w:val="1"/>
                <w:numId w:val="1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valutare dati e serie storiche aziendali a supporto del processo di </w:t>
            </w:r>
            <w:proofErr w:type="spellStart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budgeting</w:t>
            </w:r>
            <w:proofErr w:type="spellEnd"/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 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0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numPr>
                <w:ilvl w:val="1"/>
                <w:numId w:val="1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interpretare previsioni economico-finanziarie interne ed esterne all’impresa per la formulazione delle voci di budget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0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numPr>
                <w:ilvl w:val="1"/>
                <w:numId w:val="1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tradurre valutazioni di aggiornamenti e scostamenti delle variabili economiche in un coerente processo di ridefinizione del budget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488"/>
        </w:trPr>
        <w:tc>
          <w:tcPr>
            <w:tcW w:w="2340" w:type="dxa"/>
            <w:vMerge w:val="restart"/>
          </w:tcPr>
          <w:p w:rsidR="003F530A" w:rsidRPr="003F530A" w:rsidRDefault="003F530A" w:rsidP="008B6AA2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8B6AA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 Controllo andamento economico-finanziario</w:t>
            </w:r>
            <w:r w:rsidRPr="003F530A"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identificare gli scostamenti tra realizzato e programmato di variabili contabili ed extracontabili (tempi, quantità, valori)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488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individuare le relazioni tra i dati rilevati ed i  fattori e le cause determinanti  dei relativi scostamenti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488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definire caratteristiche e struttura del reporting in funzione dei modelli di contabilità industriale prescelti o delle esigenze informative delle funzioni strategiche aziendali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420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adottare modalità di elaborazione e presentazione del reporting differenziate in relazione a tempistica e destinatari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420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60" w:after="0" w:line="200" w:lineRule="exact"/>
              <w:ind w:left="284" w:hanging="284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prospettare interventi migliorativi della gestione aziendale e azioni correttive per la compensazione degli scostamenti negativi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8"/>
        </w:trPr>
        <w:tc>
          <w:tcPr>
            <w:tcW w:w="2340" w:type="dxa"/>
            <w:vMerge w:val="restart"/>
          </w:tcPr>
          <w:p w:rsidR="003F530A" w:rsidRPr="008B6AA2" w:rsidRDefault="008B6AA2" w:rsidP="008B6AA2">
            <w:pPr>
              <w:spacing w:after="0" w:line="240" w:lineRule="auto"/>
              <w:rPr>
                <w:rFonts w:ascii="MC Candom" w:eastAsia="Times New Roman" w:hAnsi="MC Candom" w:cs="Times New Roman"/>
                <w:b/>
                <w:bCs/>
                <w:i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3F530A" w:rsidRPr="008B6AA2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Articolazione e gestione strumenti bancari</w:t>
            </w: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valutare caratteristiche e potenzialità degli strumenti bancari per attività ordinarie e straordinarie d’impresa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8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individuare evoluzioni degli strumenti bancari adottati in relazione agli obiettivi aziendali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  <w:trHeight w:val="218"/>
        </w:trPr>
        <w:tc>
          <w:tcPr>
            <w:tcW w:w="2340" w:type="dxa"/>
            <w:vMerge/>
          </w:tcPr>
          <w:p w:rsidR="003F530A" w:rsidRPr="003F530A" w:rsidRDefault="003F530A" w:rsidP="003F530A">
            <w:pPr>
              <w:numPr>
                <w:ilvl w:val="0"/>
                <w:numId w:val="5"/>
              </w:numPr>
              <w:spacing w:before="60" w:after="0" w:line="200" w:lineRule="exact"/>
              <w:ind w:left="360"/>
              <w:rPr>
                <w:rFonts w:ascii="MC Candom" w:eastAsia="Times New Roman" w:hAnsi="MC Candom" w:cs="Times New Roman"/>
                <w:b/>
                <w:bCs/>
                <w:iCs/>
                <w:color w:val="7D2D00"/>
                <w:sz w:val="20"/>
                <w:szCs w:val="24"/>
                <w:lang w:eastAsia="it-IT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540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applicare tecniche di negoziazione nella trattazione di accordi ed offerte creditizie adeguate a esigenze e bisogni aziendali</w:t>
            </w:r>
          </w:p>
        </w:tc>
        <w:tc>
          <w:tcPr>
            <w:tcW w:w="2340" w:type="dxa"/>
            <w:vMerge/>
          </w:tcPr>
          <w:p w:rsidR="003F530A" w:rsidRPr="003F530A" w:rsidRDefault="003F530A" w:rsidP="003F530A">
            <w:pPr>
              <w:spacing w:before="120" w:after="0" w:line="200" w:lineRule="exact"/>
              <w:rPr>
                <w:rFonts w:ascii="MC Candom" w:eastAsia="Times New Roman" w:hAnsi="MC Candom" w:cs="Times New Roman"/>
                <w:color w:val="7D2D00"/>
                <w:sz w:val="20"/>
                <w:szCs w:val="24"/>
                <w:lang w:eastAsia="it-IT"/>
              </w:rPr>
            </w:pPr>
          </w:p>
        </w:tc>
      </w:tr>
    </w:tbl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3F530A" w:rsidRPr="003F530A" w:rsidRDefault="003F530A" w:rsidP="003F530A">
      <w:pPr>
        <w:spacing w:before="120" w:after="120" w:line="240" w:lineRule="auto"/>
        <w:jc w:val="center"/>
        <w:rPr>
          <w:rFonts w:ascii="MC Candom" w:eastAsia="Times New Roman" w:hAnsi="MC Candom" w:cs="Times New Roman"/>
          <w:b/>
          <w:bCs/>
          <w:smallCaps/>
          <w:color w:val="7D2D00"/>
          <w:sz w:val="24"/>
          <w:szCs w:val="24"/>
          <w:lang w:eastAsia="it-IT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9444FC" w:rsidRDefault="009444FC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444FC" w:rsidRDefault="009444FC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444FC" w:rsidRDefault="009444FC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444FC" w:rsidRDefault="009444FC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9444FC" w:rsidRDefault="009444FC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</w:p>
    <w:p w:rsidR="003F530A" w:rsidRPr="00355CF0" w:rsidRDefault="003F530A" w:rsidP="00355CF0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bookmarkStart w:id="0" w:name="_GoBack"/>
      <w:bookmarkEnd w:id="0"/>
      <w:r w:rsidRPr="00355CF0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lastRenderedPageBreak/>
        <w:t>Indicazioni per la valutazione delle unità di competenza</w:t>
      </w: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1783"/>
        <w:gridCol w:w="2570"/>
        <w:gridCol w:w="1980"/>
        <w:gridCol w:w="1248"/>
      </w:tblGrid>
      <w:tr w:rsidR="003F530A" w:rsidRPr="003F530A" w:rsidTr="007B74FC">
        <w:trPr>
          <w:trHeight w:val="763"/>
        </w:trPr>
        <w:tc>
          <w:tcPr>
            <w:tcW w:w="2197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3F530A" w:rsidRPr="003F530A" w:rsidRDefault="003F530A" w:rsidP="00F851F4">
            <w:pPr>
              <w:spacing w:after="0" w:line="240" w:lineRule="auto"/>
              <w:rPr>
                <w:rFonts w:ascii="MC Candom" w:eastAsia="Times New Roman" w:hAnsi="MC Candom" w:cs="Tahoma"/>
                <w:b/>
                <w:bCs/>
                <w:smallCaps/>
                <w:color w:val="FFEEE5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Unità di competenza</w:t>
            </w:r>
          </w:p>
        </w:tc>
        <w:tc>
          <w:tcPr>
            <w:tcW w:w="1783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F530A" w:rsidRPr="00F851F4" w:rsidRDefault="003F530A" w:rsidP="00F851F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Oggetto di osservazione</w:t>
            </w:r>
          </w:p>
        </w:tc>
        <w:tc>
          <w:tcPr>
            <w:tcW w:w="257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F530A" w:rsidRPr="00AF516D" w:rsidRDefault="003F530A" w:rsidP="00F851F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mallCaps/>
                <w:color w:val="FFEEE5"/>
                <w:sz w:val="24"/>
                <w:szCs w:val="24"/>
                <w:lang w:eastAsia="it-IT"/>
                <w14:shadow w14:blurRad="0" w14:dist="25400" w14:dir="135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>
                      <w14:alpha w14:val="50000"/>
                      <w14:lumMod w14:val="75000"/>
                    </w14:schemeClr>
                  </w14:solidFill>
                  <w14:prstDash w14:val="solid"/>
                  <w14:round/>
                </w14:textOutline>
              </w:rPr>
            </w:pPr>
            <w:r w:rsidRPr="00AF516D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Indicatori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F530A" w:rsidRPr="00F851F4" w:rsidRDefault="003F530A" w:rsidP="00F851F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Risultato atteso</w:t>
            </w:r>
          </w:p>
        </w:tc>
        <w:tc>
          <w:tcPr>
            <w:tcW w:w="124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3F530A" w:rsidRPr="00F851F4" w:rsidRDefault="003F530A" w:rsidP="00F851F4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F851F4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Modalità</w:t>
            </w:r>
          </w:p>
        </w:tc>
      </w:tr>
      <w:tr w:rsidR="003F530A" w:rsidRPr="003F530A" w:rsidTr="00037FDE">
        <w:trPr>
          <w:cantSplit/>
        </w:trPr>
        <w:tc>
          <w:tcPr>
            <w:tcW w:w="2197" w:type="dxa"/>
          </w:tcPr>
          <w:p w:rsidR="003F530A" w:rsidRPr="00E32364" w:rsidRDefault="003F530A" w:rsidP="008B6AA2">
            <w:pPr>
              <w:numPr>
                <w:ilvl w:val="1"/>
                <w:numId w:val="7"/>
              </w:numPr>
              <w:tabs>
                <w:tab w:val="left" w:pos="360"/>
              </w:tabs>
              <w:spacing w:before="60" w:after="0" w:line="200" w:lineRule="exact"/>
              <w:ind w:left="360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  <w:r w:rsidRPr="00E32364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  <w:t>Strutturazione sistema di contabilità generale e analitica</w:t>
            </w:r>
          </w:p>
          <w:p w:rsidR="003F530A" w:rsidRPr="003F530A" w:rsidRDefault="003F530A" w:rsidP="003F530A">
            <w:pPr>
              <w:spacing w:before="60" w:after="0" w:line="200" w:lineRule="exact"/>
              <w:rPr>
                <w:rFonts w:ascii="MC Candom" w:eastAsia="Times New Roman" w:hAnsi="MC Candom" w:cs="Tahoma"/>
                <w:i/>
                <w:color w:val="7D2D00"/>
                <w:sz w:val="20"/>
                <w:szCs w:val="24"/>
                <w:lang w:eastAsia="it-IT"/>
              </w:rPr>
            </w:pPr>
          </w:p>
        </w:tc>
        <w:tc>
          <w:tcPr>
            <w:tcW w:w="1783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strutturazione del sistema di contabilità generale e analitica</w:t>
            </w:r>
          </w:p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</w:p>
        </w:tc>
        <w:tc>
          <w:tcPr>
            <w:tcW w:w="2570" w:type="dxa"/>
          </w:tcPr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progettazione di procedure, strumenti e metodologie di rilevazione dei dati contabili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ed implementazione di strumenti di controllo e rilevazione delle varianze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selezione e progettazione di personalizzazioni ed aggiornamenti di applicativi informatici per l’automazione delle procedure contabili</w:t>
            </w:r>
          </w:p>
        </w:tc>
        <w:tc>
          <w:tcPr>
            <w:tcW w:w="198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Sistema di contabilità generale ed analitica strutturato ed implementato</w:t>
            </w:r>
          </w:p>
        </w:tc>
        <w:tc>
          <w:tcPr>
            <w:tcW w:w="1248" w:type="dxa"/>
            <w:vMerge w:val="restart"/>
            <w:textDirection w:val="tbRl"/>
            <w:vAlign w:val="center"/>
          </w:tcPr>
          <w:p w:rsidR="003F530A" w:rsidRPr="00350C3A" w:rsidRDefault="003F530A" w:rsidP="00355CF0">
            <w:pPr>
              <w:spacing w:before="120" w:after="120" w:line="200" w:lineRule="exact"/>
              <w:jc w:val="center"/>
              <w:rPr>
                <w:rFonts w:ascii="Arial Narrow" w:eastAsia="Times New Roman" w:hAnsi="Arial Narrow" w:cs="Times New Roman"/>
                <w:color w:val="6E2500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Prova pratica in situazione</w:t>
            </w:r>
          </w:p>
        </w:tc>
      </w:tr>
      <w:tr w:rsidR="003F530A" w:rsidRPr="003F530A" w:rsidTr="00037FDE">
        <w:trPr>
          <w:cantSplit/>
        </w:trPr>
        <w:tc>
          <w:tcPr>
            <w:tcW w:w="2197" w:type="dxa"/>
          </w:tcPr>
          <w:p w:rsidR="003F530A" w:rsidRPr="00E32364" w:rsidRDefault="003F530A" w:rsidP="003F530A">
            <w:pPr>
              <w:spacing w:before="60" w:after="0" w:line="200" w:lineRule="exact"/>
              <w:ind w:left="360" w:hanging="360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  <w:r w:rsidRPr="00E32364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  <w:t>2.   Formulazione     budget</w:t>
            </w:r>
          </w:p>
          <w:p w:rsidR="003F530A" w:rsidRPr="00E32364" w:rsidRDefault="003F530A" w:rsidP="003F530A">
            <w:pPr>
              <w:tabs>
                <w:tab w:val="num" w:pos="360"/>
              </w:tabs>
              <w:spacing w:before="60" w:after="0" w:line="200" w:lineRule="exact"/>
              <w:ind w:left="360" w:hanging="284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783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formulazione del budget</w:t>
            </w:r>
          </w:p>
        </w:tc>
        <w:tc>
          <w:tcPr>
            <w:tcW w:w="2570" w:type="dxa"/>
          </w:tcPr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stesura di budget generale e settoriali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verifica e revisione delle voci di budget rispetto a scostamenti ed aggiornamenti </w:t>
            </w:r>
          </w:p>
        </w:tc>
        <w:tc>
          <w:tcPr>
            <w:tcW w:w="198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Budget definito nella struttura e nei contenuti </w:t>
            </w:r>
          </w:p>
        </w:tc>
        <w:tc>
          <w:tcPr>
            <w:tcW w:w="1248" w:type="dxa"/>
            <w:vMerge/>
          </w:tcPr>
          <w:p w:rsidR="003F530A" w:rsidRPr="003F530A" w:rsidRDefault="003F530A" w:rsidP="003F530A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</w:trPr>
        <w:tc>
          <w:tcPr>
            <w:tcW w:w="2197" w:type="dxa"/>
          </w:tcPr>
          <w:p w:rsidR="003F530A" w:rsidRPr="00E32364" w:rsidRDefault="003F530A" w:rsidP="003F530A">
            <w:pPr>
              <w:numPr>
                <w:ilvl w:val="0"/>
                <w:numId w:val="6"/>
              </w:numPr>
              <w:tabs>
                <w:tab w:val="left" w:pos="360"/>
              </w:tabs>
              <w:spacing w:before="60" w:after="0" w:line="200" w:lineRule="exact"/>
              <w:ind w:left="360" w:hanging="360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  <w:r w:rsidRPr="00E32364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  <w:t>Controllo andamento economico-finanziario</w:t>
            </w:r>
          </w:p>
        </w:tc>
        <w:tc>
          <w:tcPr>
            <w:tcW w:w="1783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controllo dell’andamento economico-finanziario</w:t>
            </w:r>
          </w:p>
        </w:tc>
        <w:tc>
          <w:tcPr>
            <w:tcW w:w="2570" w:type="dxa"/>
          </w:tcPr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comparazioni tra dati previsionali ed a consuntivo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analisi scostamenti elementari e relative cause determinanti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elaborazione proposte di interventi migliorativi e correttivi degli aspetti di gestione aziendale</w:t>
            </w:r>
          </w:p>
        </w:tc>
        <w:tc>
          <w:tcPr>
            <w:tcW w:w="198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 xml:space="preserve">Scostamenti di gestione rilevati ed analizzati </w:t>
            </w:r>
          </w:p>
        </w:tc>
        <w:tc>
          <w:tcPr>
            <w:tcW w:w="1248" w:type="dxa"/>
            <w:vMerge/>
          </w:tcPr>
          <w:p w:rsidR="003F530A" w:rsidRPr="003F530A" w:rsidRDefault="003F530A" w:rsidP="003F530A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  <w:tr w:rsidR="003F530A" w:rsidRPr="003F530A" w:rsidTr="00037FDE">
        <w:trPr>
          <w:cantSplit/>
        </w:trPr>
        <w:tc>
          <w:tcPr>
            <w:tcW w:w="2197" w:type="dxa"/>
          </w:tcPr>
          <w:p w:rsidR="003F530A" w:rsidRPr="00E32364" w:rsidRDefault="003F530A" w:rsidP="003F530A">
            <w:pPr>
              <w:numPr>
                <w:ilvl w:val="0"/>
                <w:numId w:val="6"/>
              </w:numPr>
              <w:tabs>
                <w:tab w:val="left" w:pos="360"/>
              </w:tabs>
              <w:spacing w:before="60" w:after="0" w:line="200" w:lineRule="exact"/>
              <w:ind w:left="360" w:hanging="360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  <w:r w:rsidRPr="00E32364"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  <w:t>Articolazione e gestione strumenti bancari</w:t>
            </w:r>
          </w:p>
          <w:p w:rsidR="003F530A" w:rsidRPr="00E32364" w:rsidRDefault="003F530A" w:rsidP="003F530A">
            <w:pPr>
              <w:tabs>
                <w:tab w:val="left" w:pos="360"/>
              </w:tabs>
              <w:spacing w:before="60" w:after="0" w:line="200" w:lineRule="exac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</w:p>
          <w:p w:rsidR="003F530A" w:rsidRPr="00E32364" w:rsidRDefault="003F530A" w:rsidP="003F530A">
            <w:pPr>
              <w:tabs>
                <w:tab w:val="left" w:pos="360"/>
              </w:tabs>
              <w:spacing w:before="60" w:after="0" w:line="200" w:lineRule="exact"/>
              <w:rPr>
                <w:rFonts w:ascii="Arial Narrow" w:eastAsia="Times New Roman" w:hAnsi="Arial Narrow" w:cs="Times New Roman"/>
                <w:b/>
                <w:sz w:val="20"/>
                <w:szCs w:val="24"/>
                <w:lang w:eastAsia="it-IT"/>
              </w:rPr>
            </w:pPr>
          </w:p>
        </w:tc>
        <w:tc>
          <w:tcPr>
            <w:tcW w:w="1783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Le operazioni di articolazione e gestione degli strumenti bancari</w:t>
            </w:r>
          </w:p>
        </w:tc>
        <w:tc>
          <w:tcPr>
            <w:tcW w:w="2570" w:type="dxa"/>
          </w:tcPr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gestione delle relazioni con gli istituti di credito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monitoraggio e controllo delle operazioni attivate con il sistema creditizio</w:t>
            </w:r>
          </w:p>
          <w:p w:rsidR="003F530A" w:rsidRPr="00355CF0" w:rsidRDefault="003F530A" w:rsidP="00355CF0">
            <w:pPr>
              <w:spacing w:before="120" w:after="120" w:line="200" w:lineRule="exact"/>
              <w:ind w:left="-30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determinazione degli strumenti bancari utili alle attività ordinarie e straordinarie d’impresa</w:t>
            </w:r>
          </w:p>
        </w:tc>
        <w:tc>
          <w:tcPr>
            <w:tcW w:w="1980" w:type="dxa"/>
          </w:tcPr>
          <w:p w:rsidR="003F530A" w:rsidRPr="00355CF0" w:rsidRDefault="003F530A" w:rsidP="00355CF0">
            <w:pPr>
              <w:spacing w:before="120" w:after="120" w:line="200" w:lineRule="exact"/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</w:pPr>
            <w:r w:rsidRPr="00355CF0">
              <w:rPr>
                <w:rFonts w:ascii="Arial Narrow" w:eastAsia="Times New Roman" w:hAnsi="Arial Narrow" w:cs="Times New Roman"/>
                <w:sz w:val="20"/>
                <w:szCs w:val="24"/>
                <w:lang w:eastAsia="it-IT"/>
              </w:rPr>
              <w:t>Strumenti bancari funzionali all’attività d’impresa</w:t>
            </w:r>
          </w:p>
        </w:tc>
        <w:tc>
          <w:tcPr>
            <w:tcW w:w="1248" w:type="dxa"/>
            <w:vMerge/>
          </w:tcPr>
          <w:p w:rsidR="003F530A" w:rsidRPr="003F530A" w:rsidRDefault="003F530A" w:rsidP="003F530A">
            <w:pPr>
              <w:spacing w:after="0" w:line="240" w:lineRule="auto"/>
              <w:rPr>
                <w:rFonts w:ascii="MC Candom" w:eastAsia="Times New Roman" w:hAnsi="MC Candom" w:cs="Times New Roman"/>
                <w:color w:val="6E2500"/>
                <w:sz w:val="20"/>
                <w:szCs w:val="24"/>
                <w:lang w:eastAsia="it-IT"/>
              </w:rPr>
            </w:pPr>
          </w:p>
        </w:tc>
      </w:tr>
    </w:tbl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3F530A" w:rsidRPr="003F530A" w:rsidRDefault="003F530A" w:rsidP="003F530A">
      <w:pPr>
        <w:tabs>
          <w:tab w:val="left" w:pos="4820"/>
        </w:tabs>
        <w:spacing w:after="0" w:line="240" w:lineRule="auto"/>
        <w:rPr>
          <w:rFonts w:ascii="MC Candom" w:eastAsia="Times New Roman" w:hAnsi="MC Candom" w:cs="Times New Roman"/>
          <w:color w:val="7D2D00"/>
          <w:szCs w:val="24"/>
          <w:lang w:eastAsia="it-IT"/>
        </w:rPr>
      </w:pPr>
    </w:p>
    <w:p w:rsidR="003F530A" w:rsidRPr="003F530A" w:rsidRDefault="003F530A" w:rsidP="003F530A">
      <w:pPr>
        <w:spacing w:before="60" w:after="40" w:line="200" w:lineRule="exact"/>
        <w:rPr>
          <w:rFonts w:ascii="MC Candom" w:eastAsia="Times New Roman" w:hAnsi="MC Candom" w:cs="Times New Roman"/>
          <w:color w:val="7D2D00"/>
          <w:sz w:val="20"/>
          <w:szCs w:val="24"/>
          <w:lang w:eastAsia="it-IT"/>
        </w:rPr>
      </w:pPr>
    </w:p>
    <w:p w:rsidR="00A26CCD" w:rsidRDefault="00993A10"/>
    <w:sectPr w:rsidR="00A26CCD">
      <w:headerReference w:type="default" r:id="rId8"/>
      <w:footerReference w:type="default" r:id="rId9"/>
      <w:pgSz w:w="11906" w:h="16838" w:code="9"/>
      <w:pgMar w:top="1059" w:right="1134" w:bottom="1134" w:left="1134" w:header="454" w:footer="851" w:gutter="0"/>
      <w:pgBorders w:offsetFrom="page">
        <w:top w:val="couponCutoutDots" w:sz="12" w:space="24" w:color="7D2D00"/>
        <w:left w:val="couponCutoutDots" w:sz="12" w:space="24" w:color="7D2D00"/>
        <w:bottom w:val="couponCutoutDots" w:sz="12" w:space="24" w:color="7D2D00"/>
        <w:right w:val="couponCutoutDots" w:sz="12" w:space="24" w:color="7D2D00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A10" w:rsidRDefault="00993A10">
      <w:pPr>
        <w:spacing w:after="0" w:line="240" w:lineRule="auto"/>
      </w:pPr>
      <w:r>
        <w:separator/>
      </w:r>
    </w:p>
  </w:endnote>
  <w:endnote w:type="continuationSeparator" w:id="0">
    <w:p w:rsidR="00993A10" w:rsidRDefault="00993A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03" w:rsidRDefault="003F530A">
    <w:pPr>
      <w:pStyle w:val="Pidipagina"/>
      <w:tabs>
        <w:tab w:val="clear" w:pos="9638"/>
        <w:tab w:val="right" w:pos="9498"/>
      </w:tabs>
      <w:ind w:right="360"/>
      <w:jc w:val="center"/>
      <w:rPr>
        <w:rFonts w:ascii="MC Candom" w:hAnsi="MC Candom"/>
        <w:color w:val="800000"/>
        <w:sz w:val="20"/>
      </w:rPr>
    </w:pPr>
    <w:r>
      <w:rPr>
        <w:rStyle w:val="Numeropagina"/>
        <w:rFonts w:ascii="MC Candom" w:hAnsi="MC Candom"/>
        <w:color w:val="800000"/>
        <w:sz w:val="20"/>
      </w:rPr>
      <w:t xml:space="preserve">pag. </w:t>
    </w:r>
    <w:r>
      <w:rPr>
        <w:rStyle w:val="Numeropagina"/>
        <w:rFonts w:ascii="MC Candom" w:hAnsi="MC Candom"/>
        <w:color w:val="800000"/>
        <w:sz w:val="20"/>
      </w:rPr>
      <w:fldChar w:fldCharType="begin"/>
    </w:r>
    <w:r>
      <w:rPr>
        <w:rStyle w:val="Numeropagina"/>
        <w:rFonts w:ascii="MC Candom" w:hAnsi="MC Candom"/>
        <w:color w:val="800000"/>
        <w:sz w:val="20"/>
      </w:rPr>
      <w:instrText xml:space="preserve"> PAGE </w:instrText>
    </w:r>
    <w:r>
      <w:rPr>
        <w:rStyle w:val="Numeropagina"/>
        <w:rFonts w:ascii="MC Candom" w:hAnsi="MC Candom"/>
        <w:color w:val="800000"/>
        <w:sz w:val="20"/>
      </w:rPr>
      <w:fldChar w:fldCharType="separate"/>
    </w:r>
    <w:r w:rsidR="009444FC">
      <w:rPr>
        <w:rStyle w:val="Numeropagina"/>
        <w:rFonts w:ascii="MC Candom" w:hAnsi="MC Candom"/>
        <w:noProof/>
        <w:color w:val="800000"/>
        <w:sz w:val="20"/>
      </w:rPr>
      <w:t>3</w:t>
    </w:r>
    <w:r>
      <w:rPr>
        <w:rStyle w:val="Numeropagina"/>
        <w:rFonts w:ascii="MC Candom" w:hAnsi="MC Candom"/>
        <w:color w:val="800000"/>
        <w:sz w:val="20"/>
      </w:rPr>
      <w:fldChar w:fldCharType="end"/>
    </w:r>
  </w:p>
  <w:p w:rsidR="00A62D03" w:rsidRDefault="00993A10">
    <w:pPr>
      <w:pStyle w:val="Pidipagina"/>
      <w:tabs>
        <w:tab w:val="clear" w:pos="9638"/>
        <w:tab w:val="right" w:pos="9498"/>
      </w:tabs>
      <w:ind w:right="360"/>
      <w:jc w:val="center"/>
      <w:rPr>
        <w:rFonts w:ascii="MC Candom" w:hAnsi="MC Candom"/>
        <w:color w:val="800000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A10" w:rsidRDefault="00993A10">
      <w:pPr>
        <w:spacing w:after="0" w:line="240" w:lineRule="auto"/>
      </w:pPr>
      <w:r>
        <w:separator/>
      </w:r>
    </w:p>
  </w:footnote>
  <w:footnote w:type="continuationSeparator" w:id="0">
    <w:p w:rsidR="00993A10" w:rsidRDefault="00993A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2D03" w:rsidRDefault="00993A10">
    <w:pPr>
      <w:pStyle w:val="Intestazione"/>
      <w:jc w:val="center"/>
      <w:rPr>
        <w:i/>
        <w:iCs/>
        <w:sz w:val="22"/>
      </w:rPr>
    </w:pPr>
  </w:p>
  <w:p w:rsidR="00A62D03" w:rsidRDefault="00993A10">
    <w:pPr>
      <w:pStyle w:val="Intestazione"/>
      <w:jc w:val="center"/>
      <w:rPr>
        <w:i/>
        <w:iCs/>
        <w:sz w:val="22"/>
      </w:rPr>
    </w:pPr>
  </w:p>
  <w:p w:rsidR="00A62D03" w:rsidRDefault="00993A10">
    <w:pPr>
      <w:pStyle w:val="Intestazione"/>
      <w:jc w:val="center"/>
      <w:rPr>
        <w:i/>
        <w:iCs/>
        <w:sz w:val="22"/>
      </w:rPr>
    </w:pPr>
  </w:p>
  <w:p w:rsidR="00A62D03" w:rsidRDefault="00993A10">
    <w:pPr>
      <w:pStyle w:val="Intestazione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1103A"/>
    <w:multiLevelType w:val="hybridMultilevel"/>
    <w:tmpl w:val="80CC9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711EA0"/>
    <w:multiLevelType w:val="hybridMultilevel"/>
    <w:tmpl w:val="E84EA776"/>
    <w:lvl w:ilvl="0" w:tplc="86201E12">
      <w:start w:val="4"/>
      <w:numFmt w:val="decimal"/>
      <w:lvlText w:val="%1."/>
      <w:lvlJc w:val="left"/>
      <w:pPr>
        <w:ind w:left="720" w:hanging="360"/>
      </w:pPr>
      <w:rPr>
        <w:rFonts w:ascii="Arial Narrow" w:hAnsi="Arial Narrow" w:cs="Tahoma" w:hint="default"/>
        <w:i w:val="0"/>
        <w:color w:val="auto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EA617F"/>
    <w:multiLevelType w:val="hybridMultilevel"/>
    <w:tmpl w:val="2FD6A390"/>
    <w:lvl w:ilvl="0" w:tplc="A31ACDD0">
      <w:start w:val="1"/>
      <w:numFmt w:val="bullet"/>
      <w:lvlText w:val="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7D2D00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7BF46B0"/>
    <w:multiLevelType w:val="hybridMultilevel"/>
    <w:tmpl w:val="3304B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02E387C">
      <w:start w:val="3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5D0058A4">
      <w:start w:val="1"/>
      <w:numFmt w:val="decimal"/>
      <w:lvlText w:val="%3."/>
      <w:lvlJc w:val="left"/>
      <w:pPr>
        <w:tabs>
          <w:tab w:val="num" w:pos="2160"/>
        </w:tabs>
        <w:ind w:left="2007" w:hanging="207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3714D8"/>
    <w:multiLevelType w:val="hybridMultilevel"/>
    <w:tmpl w:val="87D6AFCA"/>
    <w:lvl w:ilvl="0" w:tplc="D274230C">
      <w:start w:val="3"/>
      <w:numFmt w:val="decimal"/>
      <w:lvlText w:val="%1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F4C05AE"/>
    <w:multiLevelType w:val="hybridMultilevel"/>
    <w:tmpl w:val="6BE825DE"/>
    <w:lvl w:ilvl="0" w:tplc="002E547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7C00600">
      <w:start w:val="2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2" w:tplc="6382F6D0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AB"/>
    <w:rsid w:val="00030209"/>
    <w:rsid w:val="000410D3"/>
    <w:rsid w:val="000E0D6D"/>
    <w:rsid w:val="00107C0B"/>
    <w:rsid w:val="001A1BFB"/>
    <w:rsid w:val="0022647A"/>
    <w:rsid w:val="00350C3A"/>
    <w:rsid w:val="00355CF0"/>
    <w:rsid w:val="003F530A"/>
    <w:rsid w:val="007B74FC"/>
    <w:rsid w:val="008B6AA2"/>
    <w:rsid w:val="009444FC"/>
    <w:rsid w:val="00993A10"/>
    <w:rsid w:val="009A61AB"/>
    <w:rsid w:val="00AF516D"/>
    <w:rsid w:val="00B0050D"/>
    <w:rsid w:val="00B35287"/>
    <w:rsid w:val="00E32364"/>
    <w:rsid w:val="00EB670C"/>
    <w:rsid w:val="00F85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530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F530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F530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F530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3F530A"/>
  </w:style>
  <w:style w:type="paragraph" w:styleId="Paragrafoelenco">
    <w:name w:val="List Paragraph"/>
    <w:basedOn w:val="Normale"/>
    <w:uiPriority w:val="34"/>
    <w:qFormat/>
    <w:rsid w:val="008B6A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F530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rsid w:val="003F530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F530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rsid w:val="003F530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3F530A"/>
  </w:style>
  <w:style w:type="paragraph" w:styleId="Paragrafoelenco">
    <w:name w:val="List Paragraph"/>
    <w:basedOn w:val="Normale"/>
    <w:uiPriority w:val="34"/>
    <w:qFormat/>
    <w:rsid w:val="008B6A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797</Words>
  <Characters>4548</Characters>
  <Application>Microsoft Office Word</Application>
  <DocSecurity>0</DocSecurity>
  <Lines>37</Lines>
  <Paragraphs>10</Paragraphs>
  <ScaleCrop>false</ScaleCrop>
  <Company/>
  <LinksUpToDate>false</LinksUpToDate>
  <CharactersWithSpaces>5335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17</cp:revision>
  <dcterms:created xsi:type="dcterms:W3CDTF">2013-07-23T12:34:00Z</dcterms:created>
  <dcterms:modified xsi:type="dcterms:W3CDTF">2013-07-25T08:21:00Z</dcterms:modified>
</cp:coreProperties>
</file>