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CA0" w:rsidRDefault="002A4C14" w:rsidP="009B4CA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D13C4E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DEGLI ACQUISTI E APPROVVIGIONAMENTI</w:t>
      </w:r>
    </w:p>
    <w:p w:rsidR="00FF1440" w:rsidRDefault="00FF1440" w:rsidP="009B4CA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F1440" w:rsidRDefault="00FF1440" w:rsidP="009B4CA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FF1440" w:rsidRDefault="00FF1440" w:rsidP="009B4CA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bookmarkStart w:id="0" w:name="_GoBack"/>
      <w:bookmarkEnd w:id="0"/>
    </w:p>
    <w:p w:rsidR="009B4CA0" w:rsidRPr="009B4CA0" w:rsidRDefault="009B4CA0" w:rsidP="009B4CA0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2A4C14" w:rsidRPr="009B4CA0" w:rsidRDefault="002A4C14" w:rsidP="009B4CA0">
      <w:pPr>
        <w:tabs>
          <w:tab w:val="left" w:pos="4820"/>
        </w:tabs>
        <w:spacing w:after="0" w:line="240" w:lineRule="auto"/>
        <w:jc w:val="center"/>
        <w:rPr>
          <w:rFonts w:ascii="Arial Narrow" w:eastAsia="Times New Roman" w:hAnsi="Arial Narrow" w:cs="Times New Roman"/>
          <w:color w:val="800000"/>
          <w:sz w:val="24"/>
          <w:szCs w:val="24"/>
          <w:lang w:eastAsia="it-IT"/>
        </w:rPr>
      </w:pPr>
      <w:r w:rsidRPr="00B97E01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T</w:t>
      </w:r>
      <w:r w:rsidRPr="009B4CA0">
        <w:rPr>
          <w:rFonts w:ascii="Arial Narrow" w:eastAsia="Times New Roman" w:hAnsi="Arial Narrow" w:cs="Times New Roman"/>
          <w:b/>
          <w:i/>
          <w:sz w:val="24"/>
          <w:szCs w:val="24"/>
          <w:lang w:eastAsia="it-IT"/>
        </w:rPr>
        <w:t>ECNICO DEGLI ACQUISTI E APPROVVIGIONAMENTI</w:t>
      </w:r>
    </w:p>
    <w:p w:rsidR="002A4C14" w:rsidRPr="002A4C14" w:rsidRDefault="002A4C14" w:rsidP="002A4C14">
      <w:pPr>
        <w:tabs>
          <w:tab w:val="left" w:pos="4820"/>
        </w:tabs>
        <w:spacing w:after="0" w:line="240" w:lineRule="auto"/>
        <w:jc w:val="center"/>
        <w:rPr>
          <w:rFonts w:ascii="Lucida Handwriting" w:eastAsia="Times New Roman" w:hAnsi="Lucida Handwriting" w:cs="Times New Roman"/>
          <w:color w:val="800000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2A4C14" w:rsidRPr="002A4C14" w:rsidTr="008C0AB3">
        <w:tc>
          <w:tcPr>
            <w:tcW w:w="5000" w:type="pct"/>
            <w:shd w:val="clear" w:color="auto" w:fill="4F81BD" w:themeFill="accent1"/>
          </w:tcPr>
          <w:p w:rsidR="002A4C14" w:rsidRPr="002A4C14" w:rsidRDefault="002A4C14" w:rsidP="00BD247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2A4C14" w:rsidRPr="002A4C14" w:rsidTr="00482BDD">
        <w:tc>
          <w:tcPr>
            <w:tcW w:w="5000" w:type="pct"/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color w:val="7D2D00"/>
                <w:szCs w:val="24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Il Tecnico degli acquisti e approvvigionamenti è in grado di configurare il sistema di fornitura adeguato alle esigenze di produzione ed approvvigionamento, selezionando il relativo parco fornitori e gestendo i processi di acquisizione di prodotti e servizi anche tecnici.</w:t>
            </w:r>
          </w:p>
        </w:tc>
      </w:tr>
    </w:tbl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2A4C14" w:rsidRPr="002A4C14" w:rsidTr="008C0AB3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2A4C14" w:rsidRPr="002A4C14" w:rsidRDefault="002A4C14" w:rsidP="00BD247C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2A4C14" w:rsidRPr="002A4C14" w:rsidTr="00482BDD">
        <w:trPr>
          <w:cantSplit/>
          <w:trHeight w:val="531"/>
        </w:trPr>
        <w:tc>
          <w:tcPr>
            <w:tcW w:w="5000" w:type="pct"/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mallCaps/>
                <w:color w:val="7D2D00"/>
                <w:szCs w:val="24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Approvvigionamento e gestione della produzione industriale</w:t>
            </w:r>
            <w:r w:rsidRPr="008C0AB3">
              <w:rPr>
                <w:rFonts w:ascii="Arial Narrow" w:eastAsia="Times New Roman" w:hAnsi="Arial Narrow" w:cs="Tahoma"/>
                <w:i/>
                <w:iCs/>
                <w:color w:val="7D2D00"/>
                <w:sz w:val="36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</w:tr>
    </w:tbl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2A4C14" w:rsidRPr="002A4C14" w:rsidTr="008C0AB3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2A4C14" w:rsidRPr="002A4C14" w:rsidTr="00482BDD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2A4C14" w:rsidRDefault="002A4C14" w:rsidP="008C0AB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2A4C14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2A4C14" w:rsidRDefault="002A4C14" w:rsidP="008C0AB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2A4C14" w:rsidRPr="002A4C14" w:rsidTr="00482BDD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beforeAutospacing="1" w:after="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3.3.3.1.0 Approvvigionatori e responsabili acquisti</w:t>
            </w:r>
          </w:p>
        </w:tc>
      </w:tr>
      <w:tr w:rsidR="002A4C14" w:rsidRPr="002A4C14" w:rsidTr="00482BDD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2A4C14" w:rsidRPr="008C0AB3" w:rsidRDefault="002A4C14" w:rsidP="008C0AB3">
            <w:pPr>
              <w:autoSpaceDE w:val="0"/>
              <w:autoSpaceDN w:val="0"/>
              <w:adjustRightInd w:val="0"/>
              <w:spacing w:beforeAutospacing="1" w:after="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lang w:eastAsia="it-IT"/>
              </w:rPr>
              <w:t>Commercio e distribuzione</w:t>
            </w:r>
            <w:r w:rsidRPr="008C0AB3">
              <w:rPr>
                <w:rFonts w:ascii="Arial Narrow" w:eastAsia="Times New Roman" w:hAnsi="Arial Narrow" w:cs="Tahoma"/>
                <w:lang w:eastAsia="it-IT"/>
              </w:rPr>
              <w:br/>
              <w:t>- Responsabile acquisti</w:t>
            </w:r>
            <w:r w:rsidRPr="008C0AB3">
              <w:rPr>
                <w:rFonts w:ascii="Arial Narrow" w:eastAsia="Times New Roman" w:hAnsi="Arial Narrow" w:cs="Tahoma"/>
                <w:lang w:eastAsia="it-IT"/>
              </w:rPr>
              <w:br/>
              <w:t>Tessile, abbigliamento, cuoio</w:t>
            </w:r>
            <w:r w:rsidRPr="008C0AB3">
              <w:rPr>
                <w:rFonts w:ascii="Arial Narrow" w:eastAsia="Times New Roman" w:hAnsi="Arial Narrow" w:cs="Tahoma"/>
                <w:lang w:eastAsia="it-IT"/>
              </w:rPr>
              <w:br/>
              <w:t>- Buyer</w:t>
            </w:r>
            <w:r w:rsidRPr="008C0AB3">
              <w:rPr>
                <w:rFonts w:ascii="Arial Narrow" w:eastAsia="Times New Roman" w:hAnsi="Arial Narrow" w:cs="Tahoma"/>
                <w:lang w:eastAsia="it-IT"/>
              </w:rPr>
              <w:br/>
              <w:t>- Il responsabile della produzione</w:t>
            </w:r>
          </w:p>
        </w:tc>
      </w:tr>
    </w:tbl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2A4C14" w:rsidRPr="002A4C14" w:rsidRDefault="002A4C14" w:rsidP="002A4C14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2A4C14">
        <w:rPr>
          <w:rFonts w:ascii="Lucida Handwriting" w:eastAsia="Times New Roman" w:hAnsi="Lucida Handwriting" w:cs="Times New Roman"/>
          <w:color w:val="800000"/>
          <w:sz w:val="24"/>
          <w:szCs w:val="24"/>
          <w:lang w:eastAsia="it-IT"/>
        </w:rPr>
        <w:br w:type="page"/>
      </w:r>
    </w:p>
    <w:tbl>
      <w:tblPr>
        <w:tblW w:w="997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24"/>
        <w:gridCol w:w="4489"/>
        <w:gridCol w:w="3057"/>
      </w:tblGrid>
      <w:tr w:rsidR="002A4C14" w:rsidRPr="002A4C14" w:rsidTr="008C0AB3">
        <w:tc>
          <w:tcPr>
            <w:tcW w:w="241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A4C14" w:rsidRPr="002A4C14" w:rsidRDefault="002A4C14" w:rsidP="00BD247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45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2A4C14" w:rsidRPr="002A4C14" w:rsidRDefault="002A4C14" w:rsidP="00BD247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306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2A4C14" w:rsidRPr="00B71EAE" w:rsidRDefault="002A4C14" w:rsidP="00B71EA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B71EAE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Conoscenze</w:t>
            </w:r>
          </w:p>
          <w:p w:rsidR="002A4C14" w:rsidRPr="00B71EAE" w:rsidRDefault="002A4C14" w:rsidP="00B71EAE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i/>
                <w:iCs/>
                <w:smallCaps/>
                <w:color w:val="FFEEE5"/>
                <w:sz w:val="20"/>
                <w:szCs w:val="20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71EAE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(conoscere)</w:t>
            </w:r>
          </w:p>
        </w:tc>
      </w:tr>
      <w:tr w:rsidR="002A4C14" w:rsidRPr="002A4C14" w:rsidTr="00482BDD">
        <w:trPr>
          <w:cantSplit/>
          <w:trHeight w:val="284"/>
        </w:trPr>
        <w:tc>
          <w:tcPr>
            <w:tcW w:w="2410" w:type="dxa"/>
            <w:vMerge w:val="restart"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Analisi tecnica fabbisogno d’acquisto</w:t>
            </w: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riconoscere le caratteristiche tecnico-funzionali del prodotto e/o servizio da acquistare </w:t>
            </w:r>
          </w:p>
        </w:tc>
        <w:tc>
          <w:tcPr>
            <w:tcW w:w="3060" w:type="dxa"/>
            <w:vMerge w:val="restart"/>
            <w:vAlign w:val="center"/>
          </w:tcPr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merceologiche, specifiche tecniche e standard qualitativi dei prodotti e/o servizi trattati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Tecnologie dei materiali trattati e relativi utilizzi in produzione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caratteristiche e tipologie dei processi di produzione industriale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Strumenti e tecniche di programmazione (</w:t>
            </w:r>
            <w:proofErr w:type="spellStart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Gantt</w:t>
            </w:r>
            <w:proofErr w:type="spellEnd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, ecc.)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elementi relativi a sistemi e metodi per la gestione logistica interna ed esterna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indagine  e monitoraggio del mercato fornitori (tradizionali e web-</w:t>
            </w:r>
            <w:proofErr w:type="spellStart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based</w:t>
            </w:r>
            <w:proofErr w:type="spellEnd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tipologie contrattuali e normative applicate alle transazioni commerciali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marketing d’acquisto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analisi dei costi/benefici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Metodi di qualificazione fornitori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Principali software applicativi per la gestione dei dati e degli acquisti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e strategie di comunicazione e negoziazione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Lingua inglese scritta e parlata: sintassi, grammatica, terminologia tecnica, etc.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Le norme ISO </w:t>
            </w:r>
          </w:p>
          <w:p w:rsidR="002A4C14" w:rsidRPr="00B52795" w:rsidRDefault="002A4C14" w:rsidP="00B71EAE">
            <w:pPr>
              <w:numPr>
                <w:ilvl w:val="0"/>
                <w:numId w:val="6"/>
              </w:numPr>
              <w:spacing w:before="120" w:after="12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e disposizioni a tutela della sicurezza nell’ambiente di lavoro</w:t>
            </w:r>
          </w:p>
        </w:tc>
      </w:tr>
      <w:tr w:rsidR="002A4C14" w:rsidRPr="002A4C14" w:rsidTr="00482BDD">
        <w:trPr>
          <w:cantSplit/>
          <w:trHeight w:val="70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valutare le corrispondenze di prodotto e/o servizio offerte dal mercato di fornitura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84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comprendere i profili qualitativi del prodotto e/o servizio al fine di individuarne il giusto rapporto qualità/prezzo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488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rispondenza del fabbisogno di acquisto alle effettive disponibilità di mercato e di giacenza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155"/>
        </w:trPr>
        <w:tc>
          <w:tcPr>
            <w:tcW w:w="2410" w:type="dxa"/>
            <w:vMerge w:val="restart"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Organizzazione piano d’acquisto              </w:t>
            </w: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 tempi e i processi di approvvigionamento, anche in vista delle procedure interne di acquisizione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155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determinare scadenze e modalità di consegna in funzione dell’efficienza ed efficacia produttiva dei fornitori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155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individuare le priorità d’acquisto in previsione della disponibilità variabile del prodotto e/o servizio sul mercato 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323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identificare gli indicatori di selezione e monitoraggio del parco fornitori -costi, tempi, qualità, affidabilità, ecc.- 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10"/>
        </w:trPr>
        <w:tc>
          <w:tcPr>
            <w:tcW w:w="2410" w:type="dxa"/>
            <w:vMerge w:val="restart"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fornitura</w:t>
            </w:r>
          </w:p>
          <w:p w:rsidR="002A4C14" w:rsidRPr="008C0AB3" w:rsidRDefault="002A4C14" w:rsidP="002A4C14">
            <w:pPr>
              <w:spacing w:before="60" w:after="0" w:line="200" w:lineRule="exact"/>
              <w:ind w:left="360" w:hanging="360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i fornitori sulla base degli indicatori di selezione prefissati, nonché delle caratteristiche specifiche del prodotto e/o servizio da acquistare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10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decodificare i flussi informativi provenienti dal mercato per la ricerca di nuove fonti di fornitura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10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e stili di negoziazione per la definizione delle condizioni di fornitura e per la gestione delle relazioni con i fornitori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10"/>
        </w:trPr>
        <w:tc>
          <w:tcPr>
            <w:tcW w:w="2410" w:type="dxa"/>
            <w:vMerge/>
          </w:tcPr>
          <w:p w:rsidR="002A4C14" w:rsidRPr="008C0AB3" w:rsidRDefault="002A4C14" w:rsidP="002A4C14">
            <w:pPr>
              <w:numPr>
                <w:ilvl w:val="1"/>
                <w:numId w:val="4"/>
              </w:numPr>
              <w:tabs>
                <w:tab w:val="left" w:pos="360"/>
              </w:tabs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valutare il rapporto costi/benefici dell’offerta in funzione delle condizioni di acquisto predeterminate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284"/>
        </w:trPr>
        <w:tc>
          <w:tcPr>
            <w:tcW w:w="2410" w:type="dxa"/>
            <w:vMerge w:val="restart"/>
          </w:tcPr>
          <w:p w:rsidR="002A4C14" w:rsidRPr="008C0AB3" w:rsidRDefault="002A4C14" w:rsidP="002A4C14">
            <w:pPr>
              <w:numPr>
                <w:ilvl w:val="0"/>
                <w:numId w:val="4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Gestione processi di acquisizione </w:t>
            </w: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la soluzione contrattuale adeguata alla tipologia delle forniture richieste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458"/>
        </w:trPr>
        <w:tc>
          <w:tcPr>
            <w:tcW w:w="2410" w:type="dxa"/>
            <w:vMerge/>
          </w:tcPr>
          <w:p w:rsidR="002A4C14" w:rsidRPr="002A4C14" w:rsidRDefault="002A4C14" w:rsidP="002A4C1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modalità amministrativo-contabili per la predisposizione degli ordini di acquisto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580"/>
        </w:trPr>
        <w:tc>
          <w:tcPr>
            <w:tcW w:w="2410" w:type="dxa"/>
            <w:vMerge/>
          </w:tcPr>
          <w:p w:rsidR="002A4C14" w:rsidRPr="002A4C14" w:rsidRDefault="002A4C14" w:rsidP="002A4C1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rilevare il grado di soddisfazione degli utilizzatori finali in merito alle conformità delle forniture offerte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  <w:trHeight w:val="580"/>
        </w:trPr>
        <w:tc>
          <w:tcPr>
            <w:tcW w:w="2410" w:type="dxa"/>
            <w:vMerge/>
          </w:tcPr>
          <w:p w:rsidR="002A4C14" w:rsidRPr="002A4C14" w:rsidRDefault="002A4C14" w:rsidP="002A4C14">
            <w:pPr>
              <w:spacing w:before="60" w:after="0" w:line="200" w:lineRule="exact"/>
              <w:rPr>
                <w:rFonts w:ascii="MC Candom" w:eastAsia="Times New Roman" w:hAnsi="MC Candom" w:cs="Times New Roman"/>
                <w:b/>
                <w:bCs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4500" w:type="dxa"/>
          </w:tcPr>
          <w:p w:rsidR="002A4C14" w:rsidRPr="00B52795" w:rsidRDefault="002A4C14" w:rsidP="00B71EAE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tecniche comparative (</w:t>
            </w:r>
            <w:proofErr w:type="spellStart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benchmarking</w:t>
            </w:r>
            <w:proofErr w:type="spellEnd"/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) della qualità e dei prodotti e/o servizi offerti dai diversi fornitori</w:t>
            </w:r>
          </w:p>
        </w:tc>
        <w:tc>
          <w:tcPr>
            <w:tcW w:w="3060" w:type="dxa"/>
            <w:vMerge/>
          </w:tcPr>
          <w:p w:rsidR="002A4C14" w:rsidRPr="002A4C14" w:rsidRDefault="002A4C14" w:rsidP="002A4C14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2A4C14" w:rsidRPr="00B97E01" w:rsidRDefault="002A4C14" w:rsidP="002A4C14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2A4C14"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br w:type="page"/>
      </w:r>
      <w:r w:rsidRPr="00B97E01">
        <w:rPr>
          <w:rFonts w:ascii="Arial Narrow" w:eastAsia="Times New Roman" w:hAnsi="Arial Narrow" w:cs="Times New Roman"/>
          <w:b/>
          <w:sz w:val="24"/>
          <w:szCs w:val="24"/>
          <w:lang w:eastAsia="it-IT"/>
        </w:rPr>
        <w:lastRenderedPageBreak/>
        <w:t>Indicazioni per la valutazione delle unità di competenza</w:t>
      </w:r>
    </w:p>
    <w:p w:rsidR="002A4C14" w:rsidRPr="002A4C14" w:rsidRDefault="002A4C14" w:rsidP="002A4C14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980"/>
        <w:gridCol w:w="2520"/>
        <w:gridCol w:w="1744"/>
        <w:gridCol w:w="1124"/>
      </w:tblGrid>
      <w:tr w:rsidR="002A4C14" w:rsidRPr="002A4C14" w:rsidTr="008C0AB3">
        <w:trPr>
          <w:trHeight w:val="763"/>
        </w:trPr>
        <w:tc>
          <w:tcPr>
            <w:tcW w:w="241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2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74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124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2A4C14" w:rsidRPr="00BD247C" w:rsidRDefault="002A4C14" w:rsidP="00BD247C">
            <w:pPr>
              <w:keepNext/>
              <w:spacing w:after="0" w:line="240" w:lineRule="auto"/>
              <w:outlineLvl w:val="4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D247C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2A4C14" w:rsidRPr="002A4C14" w:rsidTr="00482BDD">
        <w:trPr>
          <w:cantSplit/>
        </w:trPr>
        <w:tc>
          <w:tcPr>
            <w:tcW w:w="2410" w:type="dxa"/>
          </w:tcPr>
          <w:p w:rsidR="002A4C14" w:rsidRPr="008C0AB3" w:rsidRDefault="002A4C14" w:rsidP="002A4C14">
            <w:pPr>
              <w:numPr>
                <w:ilvl w:val="0"/>
                <w:numId w:val="5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Analisi tecnica fabbisogno di acquisto</w:t>
            </w:r>
          </w:p>
        </w:tc>
        <w:tc>
          <w:tcPr>
            <w:tcW w:w="198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analisi tecnica del fabbisogno di acquisto</w:t>
            </w:r>
          </w:p>
        </w:tc>
        <w:tc>
          <w:tcPr>
            <w:tcW w:w="252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acquisizione richiesta/fabbisogno di acquisto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verifica equivalenze di prodotto di magazzino e/o di mercato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esame tecnico del prodotto e/o servizio da acquistare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indagine su offerta di mercato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restituzione feedback </w:t>
            </w:r>
          </w:p>
        </w:tc>
        <w:tc>
          <w:tcPr>
            <w:tcW w:w="1744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Richiesta/ fabbisogno di acquisto esaminati</w:t>
            </w:r>
          </w:p>
        </w:tc>
        <w:tc>
          <w:tcPr>
            <w:tcW w:w="1124" w:type="dxa"/>
            <w:vMerge w:val="restart"/>
            <w:textDirection w:val="tbRl"/>
            <w:vAlign w:val="center"/>
          </w:tcPr>
          <w:p w:rsidR="002A4C14" w:rsidRPr="00B71EAE" w:rsidRDefault="002A4C14" w:rsidP="00B52795">
            <w:pPr>
              <w:spacing w:before="60" w:after="60" w:line="200" w:lineRule="exact"/>
              <w:ind w:left="28"/>
              <w:jc w:val="center"/>
              <w:rPr>
                <w:rFonts w:ascii="Arial Narrow" w:eastAsia="Times New Roman" w:hAnsi="Arial Narrow" w:cs="Times New Roman"/>
                <w:color w:val="6E2500"/>
                <w:sz w:val="20"/>
                <w:szCs w:val="24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Prova pratica in situazione</w:t>
            </w:r>
          </w:p>
        </w:tc>
      </w:tr>
      <w:tr w:rsidR="002A4C14" w:rsidRPr="002A4C14" w:rsidTr="00482BDD">
        <w:trPr>
          <w:cantSplit/>
        </w:trPr>
        <w:tc>
          <w:tcPr>
            <w:tcW w:w="2410" w:type="dxa"/>
          </w:tcPr>
          <w:p w:rsidR="002A4C14" w:rsidRPr="008C0AB3" w:rsidRDefault="002A4C14" w:rsidP="002A4C14">
            <w:pPr>
              <w:numPr>
                <w:ilvl w:val="0"/>
                <w:numId w:val="5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Organizzazione piano d’acquisto              </w:t>
            </w:r>
          </w:p>
        </w:tc>
        <w:tc>
          <w:tcPr>
            <w:tcW w:w="198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organizzazione del piano di acquisto</w:t>
            </w:r>
          </w:p>
        </w:tc>
        <w:tc>
          <w:tcPr>
            <w:tcW w:w="252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definizione operativa calendario emissione ordini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elaborazione elementi di priorità d’acquisto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organizzazione calendario scadenze/consegne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elaborazione criteri di selezione e monitoraggio fornitori </w:t>
            </w:r>
          </w:p>
        </w:tc>
        <w:tc>
          <w:tcPr>
            <w:tcW w:w="1744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Piano di acquisto redatto secondo i programmi produttivi e di approvvigiona-mento rilevati</w:t>
            </w:r>
          </w:p>
        </w:tc>
        <w:tc>
          <w:tcPr>
            <w:tcW w:w="1124" w:type="dxa"/>
            <w:vMerge/>
          </w:tcPr>
          <w:p w:rsidR="002A4C14" w:rsidRPr="002A4C14" w:rsidRDefault="002A4C14" w:rsidP="002A4C1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</w:trPr>
        <w:tc>
          <w:tcPr>
            <w:tcW w:w="2410" w:type="dxa"/>
          </w:tcPr>
          <w:p w:rsidR="002A4C14" w:rsidRPr="008C0AB3" w:rsidRDefault="002A4C14" w:rsidP="002A4C14">
            <w:pPr>
              <w:numPr>
                <w:ilvl w:val="0"/>
                <w:numId w:val="5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Configurazione sistema di fornitura</w:t>
            </w:r>
          </w:p>
        </w:tc>
        <w:tc>
          <w:tcPr>
            <w:tcW w:w="198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configurazione del sistema fornitura</w:t>
            </w:r>
          </w:p>
        </w:tc>
        <w:tc>
          <w:tcPr>
            <w:tcW w:w="252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ricognizione nel parco fornitori già esistente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ricerca e selezione nuovi fornitori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predisposizione lista potenziali fornitori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negoziazione e definizione condizioni di fornitura (modalità, tempi, costi, ecc.)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definizione offerta economica </w:t>
            </w:r>
          </w:p>
        </w:tc>
        <w:tc>
          <w:tcPr>
            <w:tcW w:w="1744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Sistema di fornitura strutturato</w:t>
            </w:r>
          </w:p>
        </w:tc>
        <w:tc>
          <w:tcPr>
            <w:tcW w:w="1124" w:type="dxa"/>
            <w:vMerge/>
          </w:tcPr>
          <w:p w:rsidR="002A4C14" w:rsidRPr="002A4C14" w:rsidRDefault="002A4C14" w:rsidP="002A4C1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2A4C14" w:rsidRPr="002A4C14" w:rsidTr="00482BDD">
        <w:trPr>
          <w:cantSplit/>
        </w:trPr>
        <w:tc>
          <w:tcPr>
            <w:tcW w:w="2410" w:type="dxa"/>
          </w:tcPr>
          <w:p w:rsidR="002A4C14" w:rsidRPr="008C0AB3" w:rsidRDefault="002A4C14" w:rsidP="002A4C14">
            <w:pPr>
              <w:numPr>
                <w:ilvl w:val="0"/>
                <w:numId w:val="5"/>
              </w:num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C0AB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Gestione processi di acquisizione </w:t>
            </w:r>
          </w:p>
        </w:tc>
        <w:tc>
          <w:tcPr>
            <w:tcW w:w="198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Le operazioni di gestione dei processi di acquisizione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</w:p>
        </w:tc>
        <w:tc>
          <w:tcPr>
            <w:tcW w:w="2520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definizione modalità contrattuali di fornitura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emissione ordine d’acquisto</w:t>
            </w:r>
          </w:p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monitoraggio conformità delle forniture</w:t>
            </w:r>
          </w:p>
        </w:tc>
        <w:tc>
          <w:tcPr>
            <w:tcW w:w="1744" w:type="dxa"/>
          </w:tcPr>
          <w:p w:rsidR="002A4C14" w:rsidRPr="00B52795" w:rsidRDefault="002A4C14" w:rsidP="00B52795">
            <w:pPr>
              <w:spacing w:before="60" w:after="60" w:line="200" w:lineRule="exact"/>
              <w:ind w:left="28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B52795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Fornitura efficacemente presidiata e rispondente alle condizioni negoziate</w:t>
            </w:r>
          </w:p>
        </w:tc>
        <w:tc>
          <w:tcPr>
            <w:tcW w:w="1124" w:type="dxa"/>
            <w:vMerge/>
          </w:tcPr>
          <w:p w:rsidR="002A4C14" w:rsidRPr="002A4C14" w:rsidRDefault="002A4C14" w:rsidP="002A4C14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2A4C14" w:rsidRPr="002A4C14" w:rsidRDefault="002A4C14" w:rsidP="002A4C14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4C14" w:rsidRPr="002A4C14" w:rsidRDefault="002A4C14" w:rsidP="002A4C14">
      <w:pPr>
        <w:tabs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2A4C14" w:rsidRPr="002A4C14" w:rsidRDefault="002A4C14" w:rsidP="002A4C14">
      <w:pPr>
        <w:tabs>
          <w:tab w:val="left" w:pos="4820"/>
        </w:tabs>
        <w:spacing w:after="0" w:line="240" w:lineRule="auto"/>
        <w:jc w:val="center"/>
        <w:rPr>
          <w:rFonts w:ascii="Lucida Handwriting" w:eastAsia="Times New Roman" w:hAnsi="Lucida Handwriting" w:cs="Times New Roman"/>
          <w:color w:val="800000"/>
          <w:sz w:val="24"/>
          <w:szCs w:val="24"/>
          <w:lang w:eastAsia="it-IT"/>
        </w:rPr>
      </w:pPr>
    </w:p>
    <w:p w:rsidR="00A26CCD" w:rsidRDefault="00835174"/>
    <w:sectPr w:rsidR="00A26CCD">
      <w:headerReference w:type="default" r:id="rId8"/>
      <w:footerReference w:type="even" r:id="rId9"/>
      <w:footerReference w:type="default" r:id="rId10"/>
      <w:pgSz w:w="11906" w:h="16838" w:code="9"/>
      <w:pgMar w:top="1531" w:right="1134" w:bottom="1134" w:left="1134" w:header="454" w:footer="851" w:gutter="0"/>
      <w:pgBorders w:offsetFrom="page">
        <w:top w:val="couponCutoutDots" w:sz="12" w:space="24" w:color="7D2D00"/>
        <w:left w:val="couponCutoutDots" w:sz="12" w:space="24" w:color="7D2D00"/>
        <w:bottom w:val="couponCutoutDots" w:sz="12" w:space="24" w:color="7D2D00"/>
        <w:right w:val="couponCutoutDots" w:sz="12" w:space="24" w:color="7D2D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174" w:rsidRDefault="00835174">
      <w:pPr>
        <w:spacing w:after="0" w:line="240" w:lineRule="auto"/>
      </w:pPr>
      <w:r>
        <w:separator/>
      </w:r>
    </w:p>
  </w:endnote>
  <w:endnote w:type="continuationSeparator" w:id="0">
    <w:p w:rsidR="00835174" w:rsidRDefault="008351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F57" w:rsidRDefault="002A4C1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3D1F57" w:rsidRDefault="0083517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F57" w:rsidRDefault="002A4C1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  <w:rFonts w:ascii="MC Candom" w:hAnsi="MC Candom"/>
        <w:color w:val="800000"/>
        <w:sz w:val="20"/>
      </w:rPr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FF1440">
      <w:rPr>
        <w:rStyle w:val="Numeropagina"/>
        <w:rFonts w:ascii="MC Candom" w:hAnsi="MC Candom"/>
        <w:noProof/>
        <w:color w:val="800000"/>
        <w:sz w:val="20"/>
      </w:rPr>
      <w:t>1</w:t>
    </w:r>
    <w:r>
      <w:rPr>
        <w:rStyle w:val="Numeropagina"/>
      </w:rPr>
      <w:fldChar w:fldCharType="end"/>
    </w:r>
  </w:p>
  <w:p w:rsidR="003D1F57" w:rsidRDefault="00835174">
    <w:pPr>
      <w:pStyle w:val="Pidipagina"/>
      <w:tabs>
        <w:tab w:val="clear" w:pos="9638"/>
        <w:tab w:val="right" w:pos="9498"/>
      </w:tabs>
      <w:ind w:right="360"/>
      <w:rPr>
        <w:rFonts w:ascii="MC Candom" w:hAnsi="MC Candom"/>
        <w:color w:val="8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174" w:rsidRDefault="00835174">
      <w:pPr>
        <w:spacing w:after="0" w:line="240" w:lineRule="auto"/>
      </w:pPr>
      <w:r>
        <w:separator/>
      </w:r>
    </w:p>
  </w:footnote>
  <w:footnote w:type="continuationSeparator" w:id="0">
    <w:p w:rsidR="00835174" w:rsidRDefault="008351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1F57" w:rsidRDefault="00835174">
    <w:pPr>
      <w:pStyle w:val="Intestazione"/>
      <w:jc w:val="center"/>
      <w:rPr>
        <w:i/>
        <w:iCs/>
        <w:sz w:val="22"/>
      </w:rPr>
    </w:pPr>
  </w:p>
  <w:p w:rsidR="003D1F57" w:rsidRDefault="00835174">
    <w:pPr>
      <w:pStyle w:val="Intestazione"/>
      <w:jc w:val="center"/>
      <w:rPr>
        <w:i/>
        <w:iCs/>
        <w:sz w:val="22"/>
      </w:rPr>
    </w:pPr>
  </w:p>
  <w:p w:rsidR="003D1F57" w:rsidRDefault="00835174">
    <w:pPr>
      <w:pStyle w:val="Intestazione"/>
      <w:jc w:val="center"/>
      <w:rPr>
        <w:i/>
        <w:iCs/>
        <w:sz w:val="22"/>
      </w:rPr>
    </w:pPr>
  </w:p>
  <w:p w:rsidR="003D1F57" w:rsidRDefault="00835174">
    <w:pPr>
      <w:pStyle w:val="Intestazione"/>
      <w:jc w:val="center"/>
      <w:rPr>
        <w:i/>
        <w:iCs/>
        <w:sz w:val="22"/>
      </w:rPr>
    </w:pPr>
  </w:p>
  <w:p w:rsidR="003D1F57" w:rsidRDefault="00835174">
    <w:pPr>
      <w:pStyle w:val="Intestazione"/>
      <w:jc w:val="center"/>
      <w:rPr>
        <w:i/>
        <w:iCs/>
        <w:sz w:val="22"/>
      </w:rPr>
    </w:pPr>
  </w:p>
  <w:p w:rsidR="003D1F57" w:rsidRDefault="00835174">
    <w:pPr>
      <w:pStyle w:val="Intestazione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72BD"/>
    <w:multiLevelType w:val="hybridMultilevel"/>
    <w:tmpl w:val="1488E89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EA617F"/>
    <w:multiLevelType w:val="hybridMultilevel"/>
    <w:tmpl w:val="2FD6A390"/>
    <w:lvl w:ilvl="0" w:tplc="A31ACDD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D1C34A8"/>
    <w:multiLevelType w:val="hybridMultilevel"/>
    <w:tmpl w:val="BCA81C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166CF"/>
    <w:multiLevelType w:val="hybridMultilevel"/>
    <w:tmpl w:val="A720E7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10EEEF16">
      <w:start w:val="3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5D0058A4">
      <w:start w:val="1"/>
      <w:numFmt w:val="decimal"/>
      <w:lvlText w:val="%3."/>
      <w:lvlJc w:val="left"/>
      <w:pPr>
        <w:tabs>
          <w:tab w:val="num" w:pos="2160"/>
        </w:tabs>
        <w:ind w:left="2007" w:hanging="207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EA4"/>
    <w:rsid w:val="00107C0B"/>
    <w:rsid w:val="00251EA4"/>
    <w:rsid w:val="002A4C14"/>
    <w:rsid w:val="0038042C"/>
    <w:rsid w:val="00835174"/>
    <w:rsid w:val="008C0AB3"/>
    <w:rsid w:val="00996FA9"/>
    <w:rsid w:val="009B4CA0"/>
    <w:rsid w:val="00A96874"/>
    <w:rsid w:val="00B35287"/>
    <w:rsid w:val="00B52795"/>
    <w:rsid w:val="00B71EAE"/>
    <w:rsid w:val="00B97E01"/>
    <w:rsid w:val="00BD247C"/>
    <w:rsid w:val="00D13C4E"/>
    <w:rsid w:val="00F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A4C1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A4C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A4C1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2A4C1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A4C14"/>
  </w:style>
  <w:style w:type="paragraph" w:styleId="Paragrafoelenco">
    <w:name w:val="List Paragraph"/>
    <w:basedOn w:val="Normale"/>
    <w:uiPriority w:val="34"/>
    <w:qFormat/>
    <w:rsid w:val="00B71E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2A4C1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2A4C1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2A4C14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2A4C14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A4C14"/>
  </w:style>
  <w:style w:type="paragraph" w:styleId="Paragrafoelenco">
    <w:name w:val="List Paragraph"/>
    <w:basedOn w:val="Normale"/>
    <w:uiPriority w:val="34"/>
    <w:qFormat/>
    <w:rsid w:val="00B71E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803</Words>
  <Characters>4581</Characters>
  <Application>Microsoft Office Word</Application>
  <DocSecurity>0</DocSecurity>
  <Lines>38</Lines>
  <Paragraphs>10</Paragraphs>
  <ScaleCrop>false</ScaleCrop>
  <Company/>
  <LinksUpToDate>false</LinksUpToDate>
  <CharactersWithSpaces>5374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12</cp:revision>
  <dcterms:created xsi:type="dcterms:W3CDTF">2013-07-23T13:00:00Z</dcterms:created>
  <dcterms:modified xsi:type="dcterms:W3CDTF">2013-07-25T08:21:00Z</dcterms:modified>
</cp:coreProperties>
</file>