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C7" w:rsidRDefault="00B262C7" w:rsidP="00B262C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B262C7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CONTABILE</w:t>
      </w:r>
    </w:p>
    <w:p w:rsidR="00CE0B8A" w:rsidRDefault="00CE0B8A" w:rsidP="00B262C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E0B8A" w:rsidRDefault="00CE0B8A" w:rsidP="00B262C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CE0B8A" w:rsidRPr="00B262C7" w:rsidRDefault="00CE0B8A" w:rsidP="00B262C7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5000" w:type="pct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B262C7" w:rsidRPr="00B262C7" w:rsidTr="00EA121E">
        <w:tc>
          <w:tcPr>
            <w:tcW w:w="5000" w:type="pct"/>
            <w:shd w:val="clear" w:color="auto" w:fill="4F81BD" w:themeFill="accent1"/>
          </w:tcPr>
          <w:p w:rsidR="00B262C7" w:rsidRPr="00B262C7" w:rsidRDefault="00B262C7" w:rsidP="000603A3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603A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B262C7" w:rsidRPr="00B262C7" w:rsidTr="004C00DB">
        <w:trPr>
          <w:cantSplit/>
        </w:trPr>
        <w:tc>
          <w:tcPr>
            <w:tcW w:w="5000" w:type="pct"/>
          </w:tcPr>
          <w:p w:rsidR="00B262C7" w:rsidRPr="00EA121E" w:rsidRDefault="00B262C7" w:rsidP="00B262C7">
            <w:pPr>
              <w:spacing w:after="120" w:line="240" w:lineRule="auto"/>
              <w:jc w:val="both"/>
              <w:rPr>
                <w:rFonts w:ascii="Arial Narrow" w:eastAsia="Times New Roman" w:hAnsi="Arial Narrow" w:cs="Tahoma"/>
                <w:szCs w:val="24"/>
                <w:lang w:eastAsia="it-IT"/>
              </w:rPr>
            </w:pPr>
            <w:r w:rsidRPr="00EA121E">
              <w:rPr>
                <w:rFonts w:ascii="Arial Narrow" w:eastAsia="Times New Roman" w:hAnsi="Arial Narrow" w:cs="Tahoma"/>
                <w:szCs w:val="24"/>
                <w:lang w:eastAsia="it-IT"/>
              </w:rPr>
              <w:t xml:space="preserve">Il </w:t>
            </w:r>
            <w:r w:rsidRPr="00EA121E">
              <w:rPr>
                <w:rFonts w:ascii="Arial Narrow" w:eastAsia="Times New Roman" w:hAnsi="Arial Narrow" w:cs="Tahoma"/>
                <w:iCs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Tecnico contabile</w:t>
            </w:r>
            <w:r w:rsidRPr="00EA121E">
              <w:rPr>
                <w:rFonts w:ascii="Arial Narrow" w:eastAsia="Times New Roman" w:hAnsi="Arial Narrow" w:cs="Tahoma"/>
                <w:i/>
                <w:iCs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Pr="00EA121E">
              <w:rPr>
                <w:rFonts w:ascii="Arial Narrow" w:eastAsia="Times New Roman" w:hAnsi="Arial Narrow" w:cs="Tahoma"/>
                <w:szCs w:val="24"/>
                <w:lang w:eastAsia="it-IT"/>
              </w:rPr>
              <w:t>è in grado di predisporre e assicurare il trattamento contabile delle transazioni economiche, patrimoniali e finanziarie in base alla normativa vigente e di redigere il bilancio d’esercizio.</w:t>
            </w:r>
          </w:p>
        </w:tc>
      </w:tr>
    </w:tbl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B262C7" w:rsidRPr="00B262C7" w:rsidTr="00EA121E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B262C7" w:rsidRPr="00B262C7" w:rsidRDefault="00B262C7" w:rsidP="000603A3">
            <w:pPr>
              <w:spacing w:after="0" w:line="240" w:lineRule="auto"/>
              <w:rPr>
                <w:rFonts w:ascii="MC Candom" w:eastAsia="Times New Roman" w:hAnsi="MC Candom" w:cs="Tahoma"/>
                <w:b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603A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B262C7" w:rsidRPr="00B262C7" w:rsidTr="004C00DB">
        <w:trPr>
          <w:cantSplit/>
          <w:trHeight w:val="531"/>
        </w:trPr>
        <w:tc>
          <w:tcPr>
            <w:tcW w:w="5000" w:type="pct"/>
          </w:tcPr>
          <w:p w:rsidR="00B262C7" w:rsidRPr="00EA121E" w:rsidRDefault="00B262C7" w:rsidP="00B262C7">
            <w:pPr>
              <w:tabs>
                <w:tab w:val="left" w:pos="540"/>
              </w:tabs>
              <w:spacing w:before="120" w:after="12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EA121E">
              <w:rPr>
                <w:rFonts w:ascii="Arial Narrow" w:eastAsia="Times New Roman" w:hAnsi="Arial Narrow" w:cs="Times New Roman"/>
                <w:szCs w:val="24"/>
                <w:lang w:eastAsia="it-IT"/>
              </w:rPr>
              <w:t>AMMINISTRAZIONE E CONTROLLO D’IMPRESA</w:t>
            </w:r>
          </w:p>
        </w:tc>
      </w:tr>
    </w:tbl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07"/>
        <w:gridCol w:w="6245"/>
      </w:tblGrid>
      <w:tr w:rsidR="00B262C7" w:rsidRPr="00B262C7" w:rsidTr="00EA121E">
        <w:tc>
          <w:tcPr>
            <w:tcW w:w="9752" w:type="dxa"/>
            <w:gridSpan w:val="2"/>
            <w:shd w:val="clear" w:color="auto" w:fill="4F81BD" w:themeFill="accent1"/>
          </w:tcPr>
          <w:p w:rsidR="00B262C7" w:rsidRPr="00B262C7" w:rsidRDefault="00B262C7" w:rsidP="000603A3">
            <w:pPr>
              <w:spacing w:after="0" w:line="240" w:lineRule="auto"/>
              <w:rPr>
                <w:rFonts w:ascii="MC Candom" w:eastAsia="Times New Roman" w:hAnsi="MC Candom" w:cs="Tahoma"/>
                <w:b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0603A3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B262C7" w:rsidRPr="00B262C7" w:rsidTr="004C00DB">
        <w:trPr>
          <w:trHeight w:val="363"/>
        </w:trPr>
        <w:tc>
          <w:tcPr>
            <w:tcW w:w="3507" w:type="dxa"/>
          </w:tcPr>
          <w:p w:rsidR="00B262C7" w:rsidRPr="00EA121E" w:rsidRDefault="00B262C7" w:rsidP="00B262C7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Arial Narrow" w:eastAsia="Times New Roman" w:hAnsi="Arial Narrow" w:cs="Tahoma"/>
                <w:b/>
                <w:bCs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A121E">
              <w:rPr>
                <w:rFonts w:ascii="Arial Narrow" w:eastAsia="Times New Roman" w:hAnsi="Arial Narrow" w:cs="Tahoma"/>
                <w:b/>
                <w:bCs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Sistema di riferimento </w:t>
            </w:r>
          </w:p>
        </w:tc>
        <w:tc>
          <w:tcPr>
            <w:tcW w:w="6245" w:type="dxa"/>
          </w:tcPr>
          <w:p w:rsidR="00B262C7" w:rsidRPr="00EA121E" w:rsidRDefault="00B262C7" w:rsidP="00B262C7">
            <w:pPr>
              <w:tabs>
                <w:tab w:val="left" w:pos="540"/>
              </w:tabs>
              <w:spacing w:before="60" w:after="60" w:line="240" w:lineRule="auto"/>
              <w:jc w:val="center"/>
              <w:rPr>
                <w:rFonts w:ascii="Arial Narrow" w:eastAsia="Times New Roman" w:hAnsi="Arial Narrow" w:cs="Tahoma"/>
                <w:b/>
                <w:bCs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A121E">
              <w:rPr>
                <w:rFonts w:ascii="Arial Narrow" w:eastAsia="Times New Roman" w:hAnsi="Arial Narrow" w:cs="Tahoma"/>
                <w:b/>
                <w:bCs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Denominazione</w:t>
            </w:r>
          </w:p>
        </w:tc>
      </w:tr>
      <w:tr w:rsidR="00B262C7" w:rsidRPr="00B262C7" w:rsidTr="004C00DB">
        <w:trPr>
          <w:trHeight w:val="108"/>
        </w:trPr>
        <w:tc>
          <w:tcPr>
            <w:tcW w:w="3507" w:type="dxa"/>
          </w:tcPr>
          <w:p w:rsidR="00B262C7" w:rsidRPr="00DF0F15" w:rsidRDefault="00B262C7" w:rsidP="00B262C7">
            <w:pPr>
              <w:spacing w:before="120" w:after="120" w:line="240" w:lineRule="auto"/>
              <w:rPr>
                <w:rFonts w:ascii="Arial Narrow" w:eastAsia="Times New Roman" w:hAnsi="Arial Narrow" w:cs="Tahoma"/>
                <w:b/>
                <w:i/>
                <w:iCs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F0F15">
              <w:rPr>
                <w:rFonts w:ascii="Arial Narrow" w:eastAsia="Times New Roman" w:hAnsi="Arial Narrow" w:cs="Times New Roman"/>
                <w:lang w:eastAsia="it-IT"/>
              </w:rPr>
              <w:t>NUP</w:t>
            </w:r>
          </w:p>
        </w:tc>
        <w:tc>
          <w:tcPr>
            <w:tcW w:w="6245" w:type="dxa"/>
          </w:tcPr>
          <w:p w:rsidR="00B262C7" w:rsidRPr="00DF0F15" w:rsidRDefault="00B262C7" w:rsidP="00B262C7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lang w:eastAsia="it-IT"/>
              </w:rPr>
              <w:t>3.3.1.2.1 Contabili</w:t>
            </w:r>
            <w:r w:rsidRPr="00DF0F15">
              <w:rPr>
                <w:rFonts w:ascii="Arial Narrow" w:eastAsia="Times New Roman" w:hAnsi="Arial Narrow" w:cs="Times New Roman"/>
                <w:lang w:eastAsia="it-IT"/>
              </w:rPr>
              <w:br/>
              <w:t>4.1.2.1.0 Aiuto contabili e assimilati</w:t>
            </w:r>
          </w:p>
        </w:tc>
      </w:tr>
      <w:tr w:rsidR="00B262C7" w:rsidRPr="00B262C7" w:rsidTr="004C00DB">
        <w:trPr>
          <w:trHeight w:val="108"/>
        </w:trPr>
        <w:tc>
          <w:tcPr>
            <w:tcW w:w="3507" w:type="dxa"/>
          </w:tcPr>
          <w:p w:rsidR="00B262C7" w:rsidRPr="00DF0F15" w:rsidRDefault="00B262C7" w:rsidP="00B262C7">
            <w:pPr>
              <w:spacing w:before="120" w:after="120" w:line="240" w:lineRule="auto"/>
              <w:rPr>
                <w:rFonts w:ascii="Arial Narrow" w:eastAsia="Times New Roman" w:hAnsi="Arial Narrow" w:cs="Tahoma"/>
                <w:b/>
                <w:i/>
                <w:iCs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F0F15">
              <w:rPr>
                <w:rFonts w:ascii="Arial Narrow" w:eastAsia="Times New Roman" w:hAnsi="Arial Narrow" w:cs="Times New Roman"/>
                <w:lang w:eastAsia="it-IT"/>
              </w:rPr>
              <w:t>Repertorio delle professioni ISFOL</w:t>
            </w:r>
          </w:p>
        </w:tc>
        <w:tc>
          <w:tcPr>
            <w:tcW w:w="6245" w:type="dxa"/>
          </w:tcPr>
          <w:p w:rsidR="00B262C7" w:rsidRPr="00DF0F15" w:rsidRDefault="00B262C7" w:rsidP="00B262C7">
            <w:pPr>
              <w:spacing w:before="100" w:beforeAutospacing="1" w:after="100" w:afterAutospacing="1" w:line="240" w:lineRule="auto"/>
              <w:rPr>
                <w:rFonts w:ascii="Arial Narrow" w:eastAsia="Arial Unicode MS" w:hAnsi="Arial Narrow" w:cs="Tahoma"/>
                <w:lang w:eastAsia="it-IT"/>
              </w:rPr>
            </w:pPr>
            <w:r w:rsidRPr="00DF0F15">
              <w:rPr>
                <w:rFonts w:ascii="Arial Narrow" w:eastAsia="Arial Unicode MS" w:hAnsi="Arial Narrow" w:cs="Arial Unicode MS"/>
                <w:lang w:eastAsia="it-IT"/>
              </w:rPr>
              <w:t>Amministrazione e finanza d'impresa</w:t>
            </w:r>
            <w:r w:rsidRPr="00DF0F15">
              <w:rPr>
                <w:rFonts w:ascii="Arial Narrow" w:eastAsia="Arial Unicode MS" w:hAnsi="Arial Narrow" w:cs="Arial Unicode MS"/>
                <w:lang w:eastAsia="it-IT"/>
              </w:rPr>
              <w:br/>
              <w:t>- L'addetto alla contabilità generale</w:t>
            </w:r>
            <w:r w:rsidRPr="00DF0F15">
              <w:rPr>
                <w:rFonts w:ascii="Arial Narrow" w:eastAsia="Arial Unicode MS" w:hAnsi="Arial Narrow" w:cs="Arial Unicode MS"/>
                <w:lang w:eastAsia="it-IT"/>
              </w:rPr>
              <w:br/>
              <w:t>- Il responsabile della contabilità generale e industriale</w:t>
            </w:r>
            <w:r w:rsidRPr="00DF0F15">
              <w:rPr>
                <w:rFonts w:ascii="Arial Narrow" w:eastAsia="Arial Unicode MS" w:hAnsi="Arial Narrow" w:cs="Arial Unicode MS"/>
                <w:lang w:eastAsia="it-IT"/>
              </w:rPr>
              <w:br/>
              <w:t>- Il responsabile del bilancio</w:t>
            </w:r>
            <w:r w:rsidRPr="00DF0F15">
              <w:rPr>
                <w:rFonts w:ascii="Arial Narrow" w:eastAsia="Arial Unicode MS" w:hAnsi="Arial Narrow" w:cs="Arial Unicode MS"/>
                <w:lang w:eastAsia="it-IT"/>
              </w:rPr>
              <w:br/>
              <w:t>- Il responsabile paghe e contributi</w:t>
            </w:r>
          </w:p>
        </w:tc>
      </w:tr>
    </w:tbl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B262C7" w:rsidRPr="00B262C7" w:rsidRDefault="00B262C7" w:rsidP="00B262C7">
      <w:pPr>
        <w:tabs>
          <w:tab w:val="center" w:pos="4819"/>
          <w:tab w:val="right" w:pos="9638"/>
        </w:tabs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  <w:r w:rsidRPr="00B262C7"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  <w:br w:type="page"/>
      </w:r>
    </w:p>
    <w:tbl>
      <w:tblPr>
        <w:tblW w:w="10129" w:type="dxa"/>
        <w:jc w:val="center"/>
        <w:tblInd w:w="131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5"/>
        <w:gridCol w:w="4517"/>
        <w:gridCol w:w="3527"/>
      </w:tblGrid>
      <w:tr w:rsidR="00B262C7" w:rsidRPr="00B262C7" w:rsidTr="00EA121E">
        <w:trPr>
          <w:jc w:val="center"/>
        </w:trPr>
        <w:tc>
          <w:tcPr>
            <w:tcW w:w="2209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lastRenderedPageBreak/>
              <w:t>Unità di competenza</w:t>
            </w:r>
          </w:p>
        </w:tc>
        <w:tc>
          <w:tcPr>
            <w:tcW w:w="523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Capacità </w:t>
            </w:r>
          </w:p>
          <w:p w:rsidR="00B262C7" w:rsidRPr="00B262C7" w:rsidRDefault="00B262C7" w:rsidP="00B262C7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(essere in grado di)</w:t>
            </w:r>
          </w:p>
        </w:tc>
        <w:tc>
          <w:tcPr>
            <w:tcW w:w="2683" w:type="dxa"/>
            <w:tcBorders>
              <w:lef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Conoscenze</w:t>
            </w:r>
          </w:p>
          <w:p w:rsidR="00B262C7" w:rsidRPr="00B262C7" w:rsidRDefault="00B262C7" w:rsidP="00B262C7">
            <w:pPr>
              <w:spacing w:before="60" w:after="60" w:line="200" w:lineRule="exact"/>
              <w:jc w:val="center"/>
              <w:rPr>
                <w:rFonts w:ascii="MC Candom" w:eastAsia="Times New Roman" w:hAnsi="MC Candom" w:cs="Tahoma"/>
                <w:b/>
                <w:bCs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(conoscere)</w:t>
            </w: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2209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  <w:t xml:space="preserve">1. </w:t>
            </w:r>
            <w:r w:rsidRPr="00DF0F15"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  <w:tab/>
              <w:t>Configurazione sistema della contabilità generale</w:t>
            </w:r>
          </w:p>
          <w:p w:rsidR="00B262C7" w:rsidRPr="00DF0F15" w:rsidRDefault="00B262C7" w:rsidP="00B262C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imes New Roman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comprendere i processi organizzativi aziendali ai fini della definizione dei parametri di funzionamento ed aggiornamento del sistema di contabilità generale</w:t>
            </w:r>
          </w:p>
        </w:tc>
        <w:tc>
          <w:tcPr>
            <w:tcW w:w="2683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  <w:vAlign w:val="center"/>
          </w:tcPr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Natura e caratteristiche dei sistemi-sottosistemi contabili aziendali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Fondamenti di organizzazione aziendale: struttura, funzioni, processi lavorativi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Il metodo della partita doppia: scritture, strumenti ed applicazioni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12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Principali software di contabilità e di contabilità integrata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120" w:line="240" w:lineRule="auto"/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Applicativi informatici per la simulazione delle variabili retributive</w:t>
            </w:r>
            <w:r w:rsidRPr="00DF0F15">
              <w:rPr>
                <w:rFonts w:ascii="Arial Narrow" w:eastAsia="Times New Roman" w:hAnsi="Arial Narrow" w:cs="Times New Roman"/>
                <w:i/>
                <w:sz w:val="20"/>
                <w:szCs w:val="24"/>
                <w:lang w:eastAsia="it-IT"/>
              </w:rPr>
              <w:t xml:space="preserve"> 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12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Principi di contabilità analitica e controllo di gestione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Natura, funzione e contenuto del bilancio d’esercizio e consolidato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Elementi del sistema di relazione industriale (CCNL) di riferimento ed accordi aziendali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Normativa civilistica, e fiscale nazionale ed europea in tema di tenuta contabile aziendale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tabs>
                <w:tab w:val="left" w:pos="110"/>
              </w:tabs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Tecniche di elaborazione e redazione del bilancio </w:t>
            </w:r>
          </w:p>
          <w:p w:rsidR="00B262C7" w:rsidRPr="00DF0F15" w:rsidRDefault="00B262C7" w:rsidP="00DF0F15">
            <w:pPr>
              <w:numPr>
                <w:ilvl w:val="0"/>
                <w:numId w:val="4"/>
              </w:numPr>
              <w:tabs>
                <w:tab w:val="left" w:pos="110"/>
              </w:tabs>
              <w:spacing w:before="6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Elementi di tecnica bancaria</w:t>
            </w: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prospettare architettura logica e strutturale del sistema contabile coerente con tipologia produttiva d’impresa e norme vigenti nazionali ed europee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identificare e definire istruzioni e procedure operative per la trattazione contabile delle transazioni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2209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valutare caratteristiche e potenzialità dei software gestionali per la tenuta contabile nella relazione con  fornitori e professionisti interni ed esterni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2209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  <w:t>2. Gestione processo amministrativo-contabile</w:t>
            </w: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adottare modalità di pianificazione e programmazione (funzioni coinvolte e relativa tempistica) delle attività amministrativo-contabili 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applicare tecniche di contabilità generale (registrazioni di partita doppia, riepilogo del piano dei conti, tenuta scadenziario, ecc.) e contabilità analitica (riclassificazione costi e ricavi, ecc.)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valutare utilizzo, funzionamento e necessità di personalizzazione delle procedure informatizzate per la gestione dei dati contabili 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identificare modalità operative nei rapporti con terzi (fatturazione, pagamenti, incassi, ecc.) concordi con le procedure aziendali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4"/>
          <w:jc w:val="center"/>
        </w:trPr>
        <w:tc>
          <w:tcPr>
            <w:tcW w:w="2209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b/>
                <w:i/>
                <w:sz w:val="20"/>
                <w:szCs w:val="24"/>
                <w:lang w:eastAsia="it-IT"/>
              </w:rPr>
              <w:t>3. Trattamento operazioni fiscali e previdenziali</w:t>
            </w: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comprendere la normativa fiscale (regolamentazione IVA, determinazione del reddito imponibile, calcolo debito d’imposta,  ecc.) e previdenziale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2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applicare tecniche, strumenti e procedure per il calcolo delle retribuzioni e dei contributi fiscali e previdenziali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  <w:jc w:val="center"/>
        </w:trPr>
        <w:tc>
          <w:tcPr>
            <w:tcW w:w="2209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applicare specifiche di evasione degli adempimenti fiscali e previdenziali indicate da consulenti fiscali e legali interni ed esterni all’azienda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420"/>
          <w:jc w:val="center"/>
        </w:trPr>
        <w:tc>
          <w:tcPr>
            <w:tcW w:w="2209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identificare vincoli ed alternative di assolvimento degli oneri fiscali compatibili con disponibilità finanziaria aziendale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3"/>
          <w:jc w:val="center"/>
        </w:trPr>
        <w:tc>
          <w:tcPr>
            <w:tcW w:w="2209" w:type="dxa"/>
            <w:vMerge w:val="restart"/>
            <w:tcBorders>
              <w:top w:val="single" w:sz="4" w:space="0" w:color="7D2D00"/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numPr>
                <w:ilvl w:val="2"/>
                <w:numId w:val="2"/>
              </w:numPr>
              <w:spacing w:before="60" w:after="0" w:line="200" w:lineRule="exact"/>
              <w:ind w:left="360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</w:rPr>
            </w:pPr>
            <w:bookmarkStart w:id="0" w:name="_GoBack" w:colFirst="1" w:colLast="1"/>
            <w:r w:rsidRPr="00DF0F15"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Formulazione bilancio aziendale</w:t>
            </w: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adottare le operazioni di chiusura e le metodologie di redazione del bilancio nel rispetto delle norme civili e fiscali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  <w:jc w:val="center"/>
        </w:trPr>
        <w:tc>
          <w:tcPr>
            <w:tcW w:w="2209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adottare tecniche per l’elaborazione di riclassificazioni ed il calcolo di indici di bilancio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bookmarkEnd w:id="0"/>
      <w:tr w:rsidR="00B262C7" w:rsidRPr="00B262C7" w:rsidTr="004C00D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9"/>
          <w:jc w:val="center"/>
        </w:trPr>
        <w:tc>
          <w:tcPr>
            <w:tcW w:w="2209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B262C7">
            <w:pPr>
              <w:spacing w:before="60" w:after="0" w:line="200" w:lineRule="exact"/>
              <w:rPr>
                <w:rFonts w:ascii="Arial Narrow" w:eastAsia="Times New Roman" w:hAnsi="Arial Narrow" w:cs="Tahoma"/>
                <w:b/>
                <w:bCs/>
                <w:sz w:val="20"/>
                <w:szCs w:val="24"/>
                <w:lang w:eastAsia="it-IT"/>
              </w:rPr>
            </w:pPr>
          </w:p>
        </w:tc>
        <w:tc>
          <w:tcPr>
            <w:tcW w:w="5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DF0F15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verificare eventuali anomalie e discordanze nella trattazione dei dati amministrativo-contabili</w:t>
            </w:r>
          </w:p>
        </w:tc>
        <w:tc>
          <w:tcPr>
            <w:tcW w:w="2683" w:type="dxa"/>
            <w:vMerge/>
            <w:tcBorders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B262C7" w:rsidRPr="00DF0F15" w:rsidRDefault="00B262C7" w:rsidP="00DF0F15">
            <w:pPr>
              <w:pStyle w:val="Paragrafoelenco"/>
              <w:numPr>
                <w:ilvl w:val="0"/>
                <w:numId w:val="4"/>
              </w:numPr>
              <w:spacing w:before="120" w:after="0" w:line="200" w:lineRule="exact"/>
              <w:rPr>
                <w:rFonts w:ascii="Arial Narrow" w:eastAsia="Times New Roman" w:hAnsi="Arial Narrow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B262C7" w:rsidRPr="003F3A74" w:rsidRDefault="00B262C7" w:rsidP="00B262C7">
      <w:pPr>
        <w:spacing w:after="0" w:line="240" w:lineRule="auto"/>
        <w:jc w:val="center"/>
        <w:rPr>
          <w:rFonts w:ascii="Arial Narrow" w:eastAsia="Times New Roman" w:hAnsi="Arial Narrow" w:cs="Times New Roman"/>
          <w:b/>
          <w:bCs/>
          <w:smallCaps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B262C7">
        <w:rPr>
          <w:rFonts w:ascii="MC Candom" w:eastAsia="Times New Roman" w:hAnsi="MC Candom" w:cs="Times New Roman"/>
          <w:color w:val="7D2D00"/>
          <w:sz w:val="10"/>
          <w:szCs w:val="24"/>
          <w:lang w:eastAsia="it-IT"/>
        </w:rPr>
        <w:br w:type="page"/>
      </w:r>
      <w:r w:rsidRPr="003F3A74">
        <w:rPr>
          <w:rFonts w:ascii="Arial Narrow" w:eastAsia="Times New Roman" w:hAnsi="Arial Narrow" w:cs="Times New Roman"/>
          <w:b/>
          <w:bCs/>
          <w:smallCaps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 xml:space="preserve">Indicazioni per </w:t>
      </w:r>
      <w:smartTag w:uri="urn:schemas-microsoft-com:office:smarttags" w:element="PersonName">
        <w:smartTagPr>
          <w:attr w:name="ProductID" w:val="LA VALUTAZIONE DELLE UNIT￀"/>
        </w:smartTagPr>
        <w:r w:rsidRPr="003F3A74">
          <w:rPr>
            <w:rFonts w:ascii="Arial Narrow" w:eastAsia="Times New Roman" w:hAnsi="Arial Narrow" w:cs="Times New Roman"/>
            <w:b/>
            <w:bCs/>
            <w:smallCaps/>
            <w:sz w:val="24"/>
            <w:szCs w:val="24"/>
            <w:lang w:eastAsia="it-IT"/>
            <w14:shadow w14:blurRad="0" w14:dist="25400" w14:dir="13500000" w14:sx="0" w14:sy="0" w14:kx="0" w14:ky="0" w14:algn="none">
              <w14:srgbClr w14:val="000000">
                <w14:alpha w14:val="50000"/>
              </w14:srgbClr>
            </w14:shadow>
            <w14:textOutline w14:w="9525" w14:cap="flat" w14:cmpd="sng" w14:algn="ctr">
              <w14:solidFill>
                <w14:schemeClr w14:val="bg1">
                  <w14:alpha w14:val="50000"/>
                  <w14:lumMod w14:val="75000"/>
                </w14:schemeClr>
              </w14:solidFill>
              <w14:prstDash w14:val="solid"/>
              <w14:round/>
            </w14:textOutline>
          </w:rPr>
          <w:t>la valutazione delle unità</w:t>
        </w:r>
      </w:smartTag>
      <w:r w:rsidRPr="003F3A74">
        <w:rPr>
          <w:rFonts w:ascii="Arial Narrow" w:eastAsia="Times New Roman" w:hAnsi="Arial Narrow" w:cs="Times New Roman"/>
          <w:b/>
          <w:bCs/>
          <w:smallCaps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 xml:space="preserve"> di competenza</w:t>
      </w: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tbl>
      <w:tblPr>
        <w:tblW w:w="9866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9"/>
        <w:gridCol w:w="1639"/>
        <w:gridCol w:w="3312"/>
        <w:gridCol w:w="1539"/>
        <w:gridCol w:w="1237"/>
      </w:tblGrid>
      <w:tr w:rsidR="00B262C7" w:rsidRPr="00B262C7" w:rsidTr="003F3A74">
        <w:trPr>
          <w:trHeight w:val="763"/>
        </w:trPr>
        <w:tc>
          <w:tcPr>
            <w:tcW w:w="2139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Unità di competenza</w:t>
            </w:r>
          </w:p>
        </w:tc>
        <w:tc>
          <w:tcPr>
            <w:tcW w:w="1639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Oggetto di osservazione</w:t>
            </w:r>
          </w:p>
        </w:tc>
        <w:tc>
          <w:tcPr>
            <w:tcW w:w="3312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Indicatori</w:t>
            </w:r>
          </w:p>
        </w:tc>
        <w:tc>
          <w:tcPr>
            <w:tcW w:w="1539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spacing w:after="0" w:line="240" w:lineRule="auto"/>
              <w:jc w:val="center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Risultato atteso</w:t>
            </w:r>
          </w:p>
        </w:tc>
        <w:tc>
          <w:tcPr>
            <w:tcW w:w="1237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B262C7" w:rsidRPr="00B262C7" w:rsidRDefault="00B262C7" w:rsidP="00B262C7">
            <w:pPr>
              <w:keepNext/>
              <w:spacing w:after="0" w:line="200" w:lineRule="exact"/>
              <w:jc w:val="center"/>
              <w:outlineLvl w:val="4"/>
              <w:rPr>
                <w:rFonts w:ascii="MC Candom" w:eastAsia="Times New Roman" w:hAnsi="MC Candom" w:cs="Times New Roman"/>
                <w:b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B262C7">
              <w:rPr>
                <w:rFonts w:ascii="MC Candom" w:eastAsia="Times New Roman" w:hAnsi="MC Candom" w:cs="Times New Roman"/>
                <w:b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>Modalità</w:t>
            </w:r>
          </w:p>
        </w:tc>
      </w:tr>
      <w:tr w:rsidR="00B262C7" w:rsidRPr="00B262C7" w:rsidTr="003F3A74">
        <w:trPr>
          <w:cantSplit/>
        </w:trPr>
        <w:tc>
          <w:tcPr>
            <w:tcW w:w="2139" w:type="dxa"/>
          </w:tcPr>
          <w:p w:rsidR="00B262C7" w:rsidRPr="003F3A74" w:rsidRDefault="00B262C7" w:rsidP="00B262C7">
            <w:pPr>
              <w:spacing w:before="60" w:after="0" w:line="200" w:lineRule="exact"/>
              <w:ind w:left="284" w:hanging="284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  <w:t>1. Configurazione sistema della contabilità generale</w:t>
            </w:r>
          </w:p>
        </w:tc>
        <w:tc>
          <w:tcPr>
            <w:tcW w:w="16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highlight w:val="yellow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configurazione del sistema della  contabilità  generale</w:t>
            </w:r>
          </w:p>
        </w:tc>
        <w:tc>
          <w:tcPr>
            <w:tcW w:w="3312" w:type="dxa"/>
          </w:tcPr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supporto alla formulazione del piano dei conti (struttura e criteri di codifica) in coerenza con normative vigenti 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elaborazione di procedure per la trattazione dei dati amministrativi e contabili 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interazione con fornitori interni ed esterni per  aggiornamento e personalizzazione degli applicativi informatici di automazione delle procedure contabili </w:t>
            </w:r>
          </w:p>
        </w:tc>
        <w:tc>
          <w:tcPr>
            <w:tcW w:w="15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Sistema contabile aziendale strutturato </w:t>
            </w:r>
          </w:p>
        </w:tc>
        <w:tc>
          <w:tcPr>
            <w:tcW w:w="1237" w:type="dxa"/>
            <w:vMerge w:val="restart"/>
            <w:textDirection w:val="tbRl"/>
            <w:vAlign w:val="center"/>
          </w:tcPr>
          <w:p w:rsidR="00B262C7" w:rsidRPr="003F3A74" w:rsidRDefault="00B262C7" w:rsidP="00B262C7">
            <w:pPr>
              <w:spacing w:after="0" w:line="240" w:lineRule="auto"/>
              <w:ind w:left="113" w:right="113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Prova pratica in situazione</w:t>
            </w:r>
          </w:p>
        </w:tc>
      </w:tr>
      <w:tr w:rsidR="00B262C7" w:rsidRPr="00B262C7" w:rsidTr="003F3A74">
        <w:trPr>
          <w:cantSplit/>
        </w:trPr>
        <w:tc>
          <w:tcPr>
            <w:tcW w:w="2139" w:type="dxa"/>
          </w:tcPr>
          <w:p w:rsidR="00B262C7" w:rsidRPr="003F3A74" w:rsidRDefault="00B262C7" w:rsidP="00B262C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3A74"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2. Gestione processo amministrativo-contabile</w:t>
            </w:r>
          </w:p>
        </w:tc>
        <w:tc>
          <w:tcPr>
            <w:tcW w:w="16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gestione del processo amministrativo-contabili</w:t>
            </w:r>
          </w:p>
        </w:tc>
        <w:tc>
          <w:tcPr>
            <w:tcW w:w="3312" w:type="dxa"/>
          </w:tcPr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organizzazione delle attività di rilevazione-registrazione dei dati e tenuta libri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monitoraggio della corretta gestione delle procedure 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trattamento amministrativo-contabile di contratti aziendali (leasing, appalti, contratti di locazione, ecc.)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elaborazione di reportistica di derivazione contabile</w:t>
            </w:r>
          </w:p>
        </w:tc>
        <w:tc>
          <w:tcPr>
            <w:tcW w:w="15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Procedure amministrativo-contabili evase correttamente</w:t>
            </w:r>
          </w:p>
        </w:tc>
        <w:tc>
          <w:tcPr>
            <w:tcW w:w="1237" w:type="dxa"/>
            <w:vMerge/>
          </w:tcPr>
          <w:p w:rsidR="00B262C7" w:rsidRPr="00B262C7" w:rsidRDefault="00B262C7" w:rsidP="00B262C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3F3A74">
        <w:trPr>
          <w:cantSplit/>
        </w:trPr>
        <w:tc>
          <w:tcPr>
            <w:tcW w:w="2139" w:type="dxa"/>
          </w:tcPr>
          <w:p w:rsidR="00B262C7" w:rsidRPr="003F3A74" w:rsidRDefault="00B262C7" w:rsidP="00B262C7">
            <w:pPr>
              <w:tabs>
                <w:tab w:val="left" w:pos="360"/>
              </w:tabs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3A74"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3. Trattamento operazioni fiscali e previdenziali</w:t>
            </w:r>
          </w:p>
        </w:tc>
        <w:tc>
          <w:tcPr>
            <w:tcW w:w="16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trattamento delle operazioni fiscali e previdenziali</w:t>
            </w:r>
          </w:p>
        </w:tc>
        <w:tc>
          <w:tcPr>
            <w:tcW w:w="3312" w:type="dxa"/>
          </w:tcPr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elaborazione di piano e scadenziario fiscale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calcolo e versamento dei debiti fiscali (IVA, imposte d’esercizio, ecc.) e dei contributi previdenziali (</w:t>
            </w:r>
            <w:proofErr w:type="spellStart"/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Inail</w:t>
            </w:r>
            <w:proofErr w:type="spellEnd"/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, Inps, ecc.)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0"/>
                <w:lang w:eastAsia="it-IT"/>
              </w:rPr>
              <w:t>lettura e controllo delle variabili stipendiali dei cedolini paga e dei modelli CUD e 770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iscrizione in contabilità di stipendi e costi del personale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supporto alla redazione e definizione della dichiarazione dei redditi</w:t>
            </w:r>
          </w:p>
        </w:tc>
        <w:tc>
          <w:tcPr>
            <w:tcW w:w="15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Contribuzioni fiscali e previdenziali adempite</w:t>
            </w:r>
          </w:p>
        </w:tc>
        <w:tc>
          <w:tcPr>
            <w:tcW w:w="1237" w:type="dxa"/>
            <w:vMerge/>
          </w:tcPr>
          <w:p w:rsidR="00B262C7" w:rsidRPr="00B262C7" w:rsidRDefault="00B262C7" w:rsidP="00B262C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B262C7" w:rsidRPr="00B262C7" w:rsidTr="003F3A74">
        <w:trPr>
          <w:cantSplit/>
        </w:trPr>
        <w:tc>
          <w:tcPr>
            <w:tcW w:w="2139" w:type="dxa"/>
          </w:tcPr>
          <w:p w:rsidR="00B262C7" w:rsidRPr="003F3A74" w:rsidRDefault="00B262C7" w:rsidP="00B262C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3F3A74">
              <w:rPr>
                <w:rFonts w:ascii="Arial Narrow" w:eastAsia="Times New Roman" w:hAnsi="Arial Narrow" w:cs="Times New Roman"/>
                <w:b/>
                <w:bCs/>
                <w:i/>
                <w:iCs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4. Formulazione bilancio aziendale</w:t>
            </w:r>
          </w:p>
        </w:tc>
        <w:tc>
          <w:tcPr>
            <w:tcW w:w="16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formulazione del bilancio aziendale</w:t>
            </w:r>
          </w:p>
        </w:tc>
        <w:tc>
          <w:tcPr>
            <w:tcW w:w="3312" w:type="dxa"/>
          </w:tcPr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elaborazione e redazione del bilancio d’esercizio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calcolo di indici di bilancio e strutturazione di riclassificazioni</w:t>
            </w:r>
          </w:p>
          <w:p w:rsidR="00B262C7" w:rsidRPr="003F3A74" w:rsidRDefault="00B262C7" w:rsidP="003F3A74">
            <w:pPr>
              <w:spacing w:before="60"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elaborazioni di proiezioni su specifiche voci di costo</w:t>
            </w:r>
          </w:p>
        </w:tc>
        <w:tc>
          <w:tcPr>
            <w:tcW w:w="1539" w:type="dxa"/>
          </w:tcPr>
          <w:p w:rsidR="00B262C7" w:rsidRPr="003F3A74" w:rsidRDefault="00B262C7" w:rsidP="003F3A7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F3A74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Bilancio d’esercizio redatto nel rispetto delle norme vigenti</w:t>
            </w:r>
          </w:p>
        </w:tc>
        <w:tc>
          <w:tcPr>
            <w:tcW w:w="1237" w:type="dxa"/>
            <w:vMerge/>
          </w:tcPr>
          <w:p w:rsidR="00B262C7" w:rsidRPr="00B262C7" w:rsidRDefault="00B262C7" w:rsidP="00B262C7">
            <w:pPr>
              <w:spacing w:after="0" w:line="240" w:lineRule="auto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B262C7" w:rsidRPr="00B262C7" w:rsidRDefault="00B262C7" w:rsidP="00B262C7">
      <w:pPr>
        <w:tabs>
          <w:tab w:val="left" w:pos="4820"/>
        </w:tabs>
        <w:spacing w:after="0" w:line="240" w:lineRule="auto"/>
        <w:rPr>
          <w:rFonts w:ascii="Lucida Handwriting" w:eastAsia="Times New Roman" w:hAnsi="Lucida Handwriting" w:cs="Tahoma"/>
          <w:color w:val="7D2D00"/>
          <w:sz w:val="36"/>
          <w:szCs w:val="24"/>
          <w:lang w:eastAsia="it-IT"/>
        </w:rPr>
      </w:pPr>
    </w:p>
    <w:p w:rsidR="00B262C7" w:rsidRPr="00B262C7" w:rsidRDefault="00B262C7" w:rsidP="00B262C7">
      <w:pPr>
        <w:tabs>
          <w:tab w:val="left" w:pos="4820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B262C7" w:rsidRPr="00B262C7" w:rsidRDefault="00B262C7" w:rsidP="00B262C7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A26CCD" w:rsidRDefault="00CE0B8A"/>
    <w:sectPr w:rsidR="00A26C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8369C"/>
    <w:multiLevelType w:val="hybridMultilevel"/>
    <w:tmpl w:val="673A9DC4"/>
    <w:lvl w:ilvl="0" w:tplc="171C074C">
      <w:numFmt w:val="bullet"/>
      <w:lvlText w:val="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color w:val="7D2D00"/>
        <w:sz w:val="10"/>
      </w:rPr>
    </w:lvl>
    <w:lvl w:ilvl="1" w:tplc="B668366C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906CFF4">
      <w:start w:val="4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6B1168"/>
    <w:multiLevelType w:val="hybridMultilevel"/>
    <w:tmpl w:val="E4063F54"/>
    <w:lvl w:ilvl="0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FB364E1"/>
    <w:multiLevelType w:val="hybridMultilevel"/>
    <w:tmpl w:val="9C8AE3D4"/>
    <w:lvl w:ilvl="0" w:tplc="439C20BA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42F"/>
    <w:rsid w:val="000603A3"/>
    <w:rsid w:val="00107C0B"/>
    <w:rsid w:val="003F3A74"/>
    <w:rsid w:val="00B262C7"/>
    <w:rsid w:val="00B35287"/>
    <w:rsid w:val="00C4442F"/>
    <w:rsid w:val="00CE0B8A"/>
    <w:rsid w:val="00DF0F15"/>
    <w:rsid w:val="00EA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F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F0F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866</Words>
  <Characters>4939</Characters>
  <Application>Microsoft Office Word</Application>
  <DocSecurity>0</DocSecurity>
  <Lines>41</Lines>
  <Paragraphs>11</Paragraphs>
  <ScaleCrop>false</ScaleCrop>
  <Company/>
  <LinksUpToDate>false</LinksUpToDate>
  <CharactersWithSpaces>5794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8</cp:revision>
  <dcterms:created xsi:type="dcterms:W3CDTF">2013-07-23T10:58:00Z</dcterms:created>
  <dcterms:modified xsi:type="dcterms:W3CDTF">2013-07-25T08:21:00Z</dcterms:modified>
</cp:coreProperties>
</file>