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1D" w:rsidRPr="00AC7E1D" w:rsidRDefault="00AC7E1D" w:rsidP="00AC7E1D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AC7E1D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TECNICO DELLA GESTIONE </w:t>
      </w:r>
    </w:p>
    <w:p w:rsid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  <w:r w:rsidRPr="00AC7E1D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DEL PUNTO VENDITA</w:t>
      </w:r>
      <w:r w:rsidRPr="00AC7E1D">
        <w:rPr>
          <w:rFonts w:ascii="MC Candom" w:eastAsia="Times New Roman" w:hAnsi="MC Candom" w:cs="Times New Roman"/>
          <w:color w:val="7E2D00"/>
          <w:sz w:val="40"/>
          <w:szCs w:val="24"/>
          <w:lang w:eastAsia="it-IT"/>
        </w:rPr>
        <w:t xml:space="preserve"> </w:t>
      </w:r>
    </w:p>
    <w:p w:rsid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  <w:r w:rsidRPr="00AC7E1D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della gestione del punto vendita</w:t>
      </w:r>
    </w:p>
    <w:p w:rsidR="00AC7E1D" w:rsidRPr="00AC7E1D" w:rsidRDefault="00AC7E1D" w:rsidP="00AC7E1D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C7E1D" w:rsidRPr="00AC7E1D" w:rsidTr="006B4A9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AC7E1D" w:rsidRPr="00AC7E1D" w:rsidRDefault="00AC7E1D" w:rsidP="003D427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trHeight w:val="1149"/>
          <w:jc w:val="center"/>
        </w:trPr>
        <w:tc>
          <w:tcPr>
            <w:tcW w:w="9640" w:type="dxa"/>
          </w:tcPr>
          <w:p w:rsidR="00AC7E1D" w:rsidRPr="00AC7E1D" w:rsidRDefault="00AC7E1D" w:rsidP="00AC7E1D">
            <w:pPr>
              <w:spacing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lang w:eastAsia="it-IT"/>
              </w:rPr>
              <w:t xml:space="preserve">Il </w:t>
            </w:r>
            <w:r w:rsidRPr="006B4A98">
              <w:rPr>
                <w:rFonts w:ascii="Arial Narrow" w:eastAsia="Times New Roman" w:hAnsi="Arial Narrow" w:cs="Tahoma"/>
                <w:lang w:eastAsia="it-IT"/>
              </w:rPr>
              <w:t xml:space="preserve">Tecnico della gestione del punto vendita </w:t>
            </w:r>
            <w:r w:rsidRPr="00AC7E1D">
              <w:rPr>
                <w:rFonts w:ascii="Arial Narrow" w:eastAsia="Times New Roman" w:hAnsi="Arial Narrow" w:cs="Tahoma"/>
                <w:lang w:eastAsia="it-IT"/>
              </w:rPr>
              <w:t>è in grado di dirigere, coordinare e gestire un reparto/settore/punto vendita coerentemente con le politiche commerciali definite, secondo obiettivi di vendita da raggiungere e servizi da erogare e garantire al consumatore.</w:t>
            </w:r>
          </w:p>
          <w:p w:rsidR="00AC7E1D" w:rsidRPr="00AC7E1D" w:rsidRDefault="00AC7E1D" w:rsidP="00AC7E1D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E2D00"/>
                <w:szCs w:val="24"/>
                <w:lang w:eastAsia="it-IT"/>
              </w:rPr>
            </w:pPr>
          </w:p>
        </w:tc>
      </w:tr>
    </w:tbl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C7E1D" w:rsidRPr="00AC7E1D" w:rsidTr="006B4A98">
        <w:tblPrEx>
          <w:tblCellMar>
            <w:top w:w="0" w:type="dxa"/>
            <w:bottom w:w="0" w:type="dxa"/>
          </w:tblCellMar>
        </w:tblPrEx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AC7E1D" w:rsidRPr="00AC7E1D" w:rsidRDefault="00AC7E1D" w:rsidP="003D427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531"/>
          <w:jc w:val="center"/>
        </w:trPr>
        <w:tc>
          <w:tcPr>
            <w:tcW w:w="10206" w:type="dxa"/>
          </w:tcPr>
          <w:p w:rsidR="00AC7E1D" w:rsidRPr="00AC7E1D" w:rsidRDefault="00AC7E1D" w:rsidP="00AC7E1D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E2D00"/>
                <w:szCs w:val="24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lang w:eastAsia="it-IT"/>
              </w:rPr>
              <w:t>Marketing e vendite</w:t>
            </w:r>
          </w:p>
        </w:tc>
      </w:tr>
    </w:tbl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Ind w:w="43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3"/>
        <w:gridCol w:w="6945"/>
      </w:tblGrid>
      <w:tr w:rsidR="00AC7E1D" w:rsidRPr="00AC7E1D" w:rsidTr="006B4A98">
        <w:tblPrEx>
          <w:tblCellMar>
            <w:top w:w="0" w:type="dxa"/>
            <w:bottom w:w="0" w:type="dxa"/>
          </w:tblCellMar>
        </w:tblPrEx>
        <w:tc>
          <w:tcPr>
            <w:tcW w:w="9720" w:type="dxa"/>
            <w:gridSpan w:val="2"/>
            <w:shd w:val="clear" w:color="auto" w:fill="4F81BD" w:themeFill="accent1"/>
          </w:tcPr>
          <w:p w:rsidR="00AC7E1D" w:rsidRPr="00AC7E1D" w:rsidRDefault="00AC7E1D" w:rsidP="003D427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2475" w:type="dxa"/>
          </w:tcPr>
          <w:p w:rsidR="00AC7E1D" w:rsidRPr="00AC7E1D" w:rsidRDefault="00AC7E1D" w:rsidP="00AC7E1D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A3067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AC7E1D"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7245" w:type="dxa"/>
            <w:vAlign w:val="center"/>
          </w:tcPr>
          <w:p w:rsidR="00AC7E1D" w:rsidRPr="00AC7E1D" w:rsidRDefault="00AC7E1D" w:rsidP="00AC7E1D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A3067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2475" w:type="dxa"/>
          </w:tcPr>
          <w:p w:rsidR="00AC7E1D" w:rsidRPr="006B4A98" w:rsidRDefault="00AC7E1D" w:rsidP="00AC7E1D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7245" w:type="dxa"/>
          </w:tcPr>
          <w:p w:rsidR="00AC7E1D" w:rsidRPr="00AC7E1D" w:rsidRDefault="00AC7E1D" w:rsidP="00AC7E1D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lang w:eastAsia="it-IT"/>
              </w:rPr>
              <w:t>5.1.2.2.0. Esercenti delle vendite al minuto</w:t>
            </w:r>
            <w:r w:rsidRPr="00AC7E1D">
              <w:rPr>
                <w:rFonts w:ascii="Arial Narrow" w:eastAsia="Times New Roman" w:hAnsi="Arial Narrow" w:cs="Tahoma"/>
                <w:lang w:eastAsia="it-IT"/>
              </w:rPr>
              <w:br/>
              <w:t>3.3.3.4.0 Tecnici della vendita e della distribuzione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2475" w:type="dxa"/>
          </w:tcPr>
          <w:p w:rsidR="00AC7E1D" w:rsidRPr="006B4A98" w:rsidRDefault="00AC7E1D" w:rsidP="00AC7E1D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7245" w:type="dxa"/>
          </w:tcPr>
          <w:p w:rsidR="00AC7E1D" w:rsidRPr="00AC7E1D" w:rsidRDefault="00AC7E1D" w:rsidP="00AC7E1D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lang w:eastAsia="it-IT"/>
              </w:rPr>
              <w:t>Commercio e distribuzione</w:t>
            </w:r>
            <w:r w:rsidRPr="00AC7E1D">
              <w:rPr>
                <w:rFonts w:ascii="Arial Narrow" w:eastAsia="Times New Roman" w:hAnsi="Arial Narrow" w:cs="Tahoma"/>
                <w:lang w:eastAsia="it-IT"/>
              </w:rPr>
              <w:br/>
              <w:t>- Capo reparto</w:t>
            </w:r>
            <w:r w:rsidRPr="00AC7E1D">
              <w:rPr>
                <w:rFonts w:ascii="Arial Narrow" w:eastAsia="Times New Roman" w:hAnsi="Arial Narrow" w:cs="Tahoma"/>
                <w:lang w:eastAsia="it-IT"/>
              </w:rPr>
              <w:br/>
              <w:t>- Esercente di punto vendita in franchising</w:t>
            </w:r>
            <w:r w:rsidRPr="00AC7E1D">
              <w:rPr>
                <w:rFonts w:ascii="Arial Narrow" w:eastAsia="Times New Roman" w:hAnsi="Arial Narrow" w:cs="Tahoma"/>
                <w:lang w:eastAsia="it-IT"/>
              </w:rPr>
              <w:br/>
              <w:t>- Esercente</w:t>
            </w:r>
          </w:p>
        </w:tc>
      </w:tr>
    </w:tbl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tbl>
      <w:tblPr>
        <w:tblW w:w="1033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5580"/>
        <w:gridCol w:w="2880"/>
      </w:tblGrid>
      <w:tr w:rsidR="00AC7E1D" w:rsidRPr="00AC7E1D" w:rsidTr="006B4A98">
        <w:tblPrEx>
          <w:tblCellMar>
            <w:top w:w="0" w:type="dxa"/>
            <w:bottom w:w="0" w:type="dxa"/>
          </w:tblCellMar>
        </w:tblPrEx>
        <w:tc>
          <w:tcPr>
            <w:tcW w:w="187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br w:type="page"/>
            </w: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55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</w:p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8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760"/>
        </w:trPr>
        <w:tc>
          <w:tcPr>
            <w:tcW w:w="1870" w:type="dxa"/>
            <w:vMerge w:val="restart"/>
            <w:tcBorders>
              <w:bottom w:val="single" w:sz="4" w:space="0" w:color="7D2D00"/>
            </w:tcBorders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041A8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commerciale reparto/settore/ punto vendita</w:t>
            </w:r>
          </w:p>
        </w:tc>
        <w:tc>
          <w:tcPr>
            <w:tcW w:w="5580" w:type="dxa"/>
            <w:tcBorders>
              <w:bottom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stabilire la composizione dell’assortimento secondo criteri di ampiezza, profondità e marche sulla base delle politiche di acquisto e degli obiettivi di vendita aziendali</w:t>
            </w:r>
          </w:p>
        </w:tc>
        <w:tc>
          <w:tcPr>
            <w:tcW w:w="2880" w:type="dxa"/>
            <w:vMerge w:val="restart"/>
            <w:vAlign w:val="center"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Forme distributive e tipologia organizzativa dell’impresa commerciale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ciclo delle merci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principali componenti del servizio nelle strutture di vendita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La gestione dello spazio in punto vendita 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Organizzazione e gestione </w:t>
            </w: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lastRenderedPageBreak/>
              <w:t>commerciale del reparto/settore/punto vendita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Composizione dell’assortimento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della comunicazione interpersonale e della gestione dei gruppi di lavoro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del lavoro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Informatica di base ed applicata ai concetti di statistica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Lingua straniera scritta e parlata: sintassi, grammatica, terminologia tecnica, etc. 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di pianificazione e gestione delle promozioni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Normative in tema di contrattualistica del commercio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Tipologia e funzionamento delle macchine ed attrezzature in uso nel reparto/settore/punto vendita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identificativi dei prodotti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Gestione amministrativa e contabile del punto vendita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Caratteristiche merceologiche ed utilizzo dei prodotti alimentari e non 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Disposizioni a tutela della sicurezza nell’ambiente di lavoro nelle strutture di vendita</w:t>
            </w:r>
          </w:p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8261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Normative igienico-sanitarie per la gestione dei prodotti alimentari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625"/>
        </w:trPr>
        <w:tc>
          <w:tcPr>
            <w:tcW w:w="1870" w:type="dxa"/>
            <w:vMerge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funzionalità dell’organizzazione dello spazio distribuito per aree merceologiche ai fini di perseguire obiettivi di servizio e valorizzazione dell’ immagine del reparto/settore/punto vendita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217"/>
        </w:trPr>
        <w:tc>
          <w:tcPr>
            <w:tcW w:w="1870" w:type="dxa"/>
            <w:vMerge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60" w:after="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criteri di organizzazione del display funzionali alla migliore visualizzazione dei prodotti ed ottimizzazione del </w:t>
            </w:r>
            <w:proofErr w:type="spellStart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facing</w:t>
            </w:r>
            <w:proofErr w:type="spellEnd"/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217"/>
        </w:trPr>
        <w:tc>
          <w:tcPr>
            <w:tcW w:w="1870" w:type="dxa"/>
            <w:vMerge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la programmazione delle campagne promozionali: scelta dei prodotti, del periodo e delle modalità di gestione, coerentemente con le strategie aziendali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870" w:type="dxa"/>
            <w:vMerge w:val="restart"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proofErr w:type="spellStart"/>
            <w:r w:rsidRPr="00041A8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lastRenderedPageBreak/>
              <w:t>Amministrazio</w:t>
            </w:r>
            <w:proofErr w:type="spellEnd"/>
            <w:r w:rsidRPr="00041A8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-ne conto economico del reparto/settore/ punto vendita</w:t>
            </w:r>
          </w:p>
          <w:p w:rsidR="00AC7E1D" w:rsidRPr="00041A85" w:rsidRDefault="00AC7E1D" w:rsidP="00041A85">
            <w:pPr>
              <w:tabs>
                <w:tab w:val="left" w:pos="284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e procedure per il calcolo del prezzo di vendita, degli interessi e dei benefici finanziari, le ripartizioni percentuali del fatturato, calcolo e scorporo dell’IVA, ecc.  </w:t>
            </w:r>
          </w:p>
        </w:tc>
        <w:tc>
          <w:tcPr>
            <w:tcW w:w="2880" w:type="dxa"/>
            <w:vMerge/>
            <w:vAlign w:val="center"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870" w:type="dxa"/>
            <w:vMerge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quantificare i margini commerciali e di ricarico per reparti, famiglie merceologiche, referenze, ecc.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70" w:type="dxa"/>
            <w:vMerge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leggere ed interpretare dati economici di vendita e di gestione del reparto/settore/punto vendita anche in relazione all’analisi della concorrenza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70" w:type="dxa"/>
            <w:vMerge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l’opportunità di applicare riduzioni o aumenti dei prezzi standard, limitatamente al </w:t>
            </w:r>
            <w:proofErr w:type="spellStart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range</w:t>
            </w:r>
            <w:proofErr w:type="spellEnd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consentito, sulla base degli andamenti delle vendite, giacenze, ecc.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870" w:type="dxa"/>
            <w:vMerge w:val="restart"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041A8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risorse umane del reparto/settore/punto vendita</w:t>
            </w: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determinare organico e turni di lavoro del personale di reparto/punto vendita per un efficace presidio dei flussi di vendita e relativa erogazione dei servizi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1870" w:type="dxa"/>
            <w:vMerge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caratteristiche, qualità e competenze del personale di reparto/settore/punto vendita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70" w:type="dxa"/>
            <w:vMerge/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  <w:tcBorders>
              <w:bottom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le leve motivazionali di natura relazionale, cognitiva e comportamentale più efficaci a valorizzare il personale di reparto/settore/punto vendita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870" w:type="dxa"/>
            <w:vMerge/>
            <w:tcBorders>
              <w:bottom w:val="single" w:sz="4" w:space="0" w:color="7D2D00"/>
            </w:tcBorders>
          </w:tcPr>
          <w:p w:rsidR="00AC7E1D" w:rsidRPr="00041A85" w:rsidRDefault="00AC7E1D" w:rsidP="00041A85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  <w:tcBorders>
              <w:bottom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trasferire contenuti professionali al personale del reparto/punto vendita  attraverso azioni di affiancamento, formazione, ecc.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518"/>
        </w:trPr>
        <w:tc>
          <w:tcPr>
            <w:tcW w:w="1870" w:type="dxa"/>
            <w:vMerge w:val="restart"/>
          </w:tcPr>
          <w:p w:rsidR="00AC7E1D" w:rsidRPr="00041A85" w:rsidRDefault="00AC7E1D" w:rsidP="00041A85">
            <w:pPr>
              <w:tabs>
                <w:tab w:val="num" w:pos="18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041A8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Servizio e </w:t>
            </w:r>
            <w:proofErr w:type="spellStart"/>
            <w:r w:rsidRPr="00041A8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customer</w:t>
            </w:r>
            <w:proofErr w:type="spellEnd"/>
            <w:r w:rsidRPr="00041A8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041A8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satisfaction</w:t>
            </w:r>
            <w:proofErr w:type="spellEnd"/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strumenti e tecnologie dell’informazione avanzate per la realizzazione di indagini mirate sui comportamenti di consumo e bisogni delle persone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517"/>
        </w:trPr>
        <w:tc>
          <w:tcPr>
            <w:tcW w:w="1870" w:type="dxa"/>
            <w:vMerge/>
          </w:tcPr>
          <w:p w:rsidR="00AC7E1D" w:rsidRPr="00AC7E1D" w:rsidRDefault="00AC7E1D" w:rsidP="00AC7E1D">
            <w:pPr>
              <w:numPr>
                <w:ilvl w:val="0"/>
                <w:numId w:val="7"/>
              </w:numPr>
              <w:spacing w:before="60" w:after="0" w:line="200" w:lineRule="exact"/>
              <w:ind w:left="360"/>
              <w:rPr>
                <w:rFonts w:ascii="MC Candom" w:eastAsia="Times New Roman" w:hAnsi="MC Candom" w:cs="Times New Roman"/>
                <w:b/>
                <w:bCs/>
                <w:i/>
                <w:color w:val="7E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le informazioni relative ai consumatori al fine di individuare schemi di comportamento d’acquisto individuali, per segmenti di popolazione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697"/>
        </w:trPr>
        <w:tc>
          <w:tcPr>
            <w:tcW w:w="1870" w:type="dxa"/>
            <w:vMerge/>
          </w:tcPr>
          <w:p w:rsidR="00AC7E1D" w:rsidRPr="00AC7E1D" w:rsidRDefault="00AC7E1D" w:rsidP="00AC7E1D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azioni di fidelizzazione  della clientela, mettendo a punto offerte integrate di nuovi servizi e prodotti dentro e fuori il reparto/settore/punto vendita 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1870" w:type="dxa"/>
            <w:vMerge/>
          </w:tcPr>
          <w:p w:rsidR="00AC7E1D" w:rsidRPr="00AC7E1D" w:rsidRDefault="00AC7E1D" w:rsidP="00AC7E1D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58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tradurre dati/informazione di </w:t>
            </w:r>
            <w:proofErr w:type="spellStart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customer</w:t>
            </w:r>
            <w:proofErr w:type="spellEnd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satisfaction</w:t>
            </w:r>
            <w:proofErr w:type="spellEnd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 azioni di miglioramento dei servizi erogati</w:t>
            </w:r>
          </w:p>
        </w:tc>
        <w:tc>
          <w:tcPr>
            <w:tcW w:w="2880" w:type="dxa"/>
            <w:vMerge/>
          </w:tcPr>
          <w:p w:rsidR="00AC7E1D" w:rsidRPr="0098261A" w:rsidRDefault="00AC7E1D" w:rsidP="0098261A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</w:tbl>
    <w:p w:rsidR="00AC7E1D" w:rsidRPr="00BA3067" w:rsidRDefault="00AC7E1D" w:rsidP="00AC7E1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E2D00"/>
          <w:sz w:val="28"/>
          <w:szCs w:val="28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AC7E1D"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  <w:r w:rsidRPr="00BA3067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 xml:space="preserve">Indicazioni per </w:t>
      </w:r>
      <w:smartTag w:uri="urn:schemas-microsoft-com:office:smarttags" w:element="PersonName">
        <w:smartTagPr>
          <w:attr w:name="ProductID" w:val="LA VALUTAZIONE DELLE"/>
        </w:smartTagPr>
        <w:r w:rsidRPr="00BA3067">
          <w:rPr>
            <w:rFonts w:ascii="Arial Narrow" w:eastAsia="Times New Roman" w:hAnsi="Arial Narrow" w:cs="Tahoma"/>
            <w:b/>
            <w:bCs/>
            <w:sz w:val="28"/>
            <w:szCs w:val="28"/>
            <w:lang w:eastAsia="it-IT"/>
          </w:rPr>
          <w:t>la valutazione delle</w:t>
        </w:r>
      </w:smartTag>
      <w:r w:rsidRPr="00BA3067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 xml:space="preserve"> unità di competenza</w:t>
      </w:r>
    </w:p>
    <w:p w:rsidR="00AC7E1D" w:rsidRPr="00AC7E1D" w:rsidRDefault="00AC7E1D" w:rsidP="00AC7E1D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1005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7"/>
        <w:gridCol w:w="1930"/>
        <w:gridCol w:w="2512"/>
        <w:gridCol w:w="2304"/>
        <w:gridCol w:w="1337"/>
      </w:tblGrid>
      <w:tr w:rsidR="00AC7E1D" w:rsidRPr="00AC7E1D" w:rsidTr="006B4A98">
        <w:tblPrEx>
          <w:tblCellMar>
            <w:top w:w="0" w:type="dxa"/>
            <w:bottom w:w="0" w:type="dxa"/>
          </w:tblCellMar>
        </w:tblPrEx>
        <w:trPr>
          <w:trHeight w:val="763"/>
          <w:jc w:val="center"/>
        </w:trPr>
        <w:tc>
          <w:tcPr>
            <w:tcW w:w="1967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3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51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30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C7E1D" w:rsidRPr="003D427D" w:rsidRDefault="00AC7E1D" w:rsidP="003D427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337" w:type="dxa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AC7E1D" w:rsidRPr="003D427D" w:rsidRDefault="00AC7E1D" w:rsidP="003D427D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D427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trHeight w:val="938"/>
          <w:jc w:val="center"/>
        </w:trPr>
        <w:tc>
          <w:tcPr>
            <w:tcW w:w="1967" w:type="dxa"/>
          </w:tcPr>
          <w:p w:rsidR="00AC7E1D" w:rsidRPr="0054280F" w:rsidRDefault="00AC7E1D" w:rsidP="0054280F">
            <w:pPr>
              <w:tabs>
                <w:tab w:val="num" w:pos="18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bookmarkStart w:id="0" w:name="_GoBack" w:colFirst="0" w:colLast="0"/>
            <w:r w:rsidRPr="0054280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Gestione commerciale reparto/settore/ punto vendita </w:t>
            </w:r>
          </w:p>
        </w:tc>
        <w:tc>
          <w:tcPr>
            <w:tcW w:w="193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gestione commerciale del reparto/settore/punto vendita</w:t>
            </w:r>
          </w:p>
        </w:tc>
        <w:tc>
          <w:tcPr>
            <w:tcW w:w="2512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 piano di approvvigionamento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costruzione del layout merceologico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degli spazi espositivi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del piano promozionale</w:t>
            </w:r>
          </w:p>
        </w:tc>
        <w:tc>
          <w:tcPr>
            <w:tcW w:w="2304" w:type="dxa"/>
            <w:tcBorders>
              <w:right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Reparto/settore/punto vendita organizzato secondo criteri di funzionalità, servizio, economicità</w:t>
            </w:r>
          </w:p>
        </w:tc>
        <w:tc>
          <w:tcPr>
            <w:tcW w:w="1337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textDirection w:val="tbRl"/>
            <w:vAlign w:val="center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67" w:type="dxa"/>
          </w:tcPr>
          <w:p w:rsidR="00AC7E1D" w:rsidRPr="0054280F" w:rsidRDefault="00AC7E1D" w:rsidP="0054280F">
            <w:pPr>
              <w:tabs>
                <w:tab w:val="num" w:pos="18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4280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Amministrazione conto-economico del reparto/settore/ punto vendita</w:t>
            </w:r>
          </w:p>
          <w:p w:rsidR="00AC7E1D" w:rsidRPr="0054280F" w:rsidRDefault="00AC7E1D" w:rsidP="0054280F">
            <w:pPr>
              <w:tabs>
                <w:tab w:val="num" w:pos="18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3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amministrazione del conto-economico</w:t>
            </w:r>
          </w:p>
        </w:tc>
        <w:tc>
          <w:tcPr>
            <w:tcW w:w="2512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costruzione delle scale prezzi sulla base  delle indicazioni aziendali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elaborazioni dei dati di vendita: margine utile, produttività, perdite inventariali, ecc.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analisi della concorrenza</w:t>
            </w:r>
          </w:p>
        </w:tc>
        <w:tc>
          <w:tcPr>
            <w:tcW w:w="2304" w:type="dxa"/>
            <w:tcBorders>
              <w:right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Conto-economico gestito e amministrato secondo gli obiettivi di budget definiti </w:t>
            </w:r>
          </w:p>
        </w:tc>
        <w:tc>
          <w:tcPr>
            <w:tcW w:w="1337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67" w:type="dxa"/>
          </w:tcPr>
          <w:p w:rsidR="00AC7E1D" w:rsidRPr="0054280F" w:rsidRDefault="00AC7E1D" w:rsidP="0054280F">
            <w:pPr>
              <w:tabs>
                <w:tab w:val="num" w:pos="18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4280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risorse umane del reparto/settore/ punto vendita</w:t>
            </w:r>
          </w:p>
          <w:p w:rsidR="00AC7E1D" w:rsidRPr="0054280F" w:rsidRDefault="00AC7E1D" w:rsidP="0054280F">
            <w:pPr>
              <w:tabs>
                <w:tab w:val="num" w:pos="18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3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gestione delle risorse umane</w:t>
            </w:r>
          </w:p>
        </w:tc>
        <w:tc>
          <w:tcPr>
            <w:tcW w:w="2512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organizzazione del lavoro 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coordinamento del personale di reparto/punto vendita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predisposizione del programma di formazione base, specialistica e di aggiornamento per i collaboratori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valutazione dei propri collaboratori</w:t>
            </w:r>
          </w:p>
        </w:tc>
        <w:tc>
          <w:tcPr>
            <w:tcW w:w="2304" w:type="dxa"/>
            <w:tcBorders>
              <w:right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Personale organizzato coerentemente con i fabbisogni di presidio del reparto/punto vendita</w:t>
            </w:r>
          </w:p>
        </w:tc>
        <w:tc>
          <w:tcPr>
            <w:tcW w:w="1337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AC7E1D" w:rsidRPr="00AC7E1D" w:rsidTr="00132E33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967" w:type="dxa"/>
          </w:tcPr>
          <w:p w:rsidR="00AC7E1D" w:rsidRPr="0054280F" w:rsidRDefault="00AC7E1D" w:rsidP="0054280F">
            <w:pPr>
              <w:tabs>
                <w:tab w:val="num" w:pos="18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4280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Servizio e </w:t>
            </w:r>
            <w:proofErr w:type="spellStart"/>
            <w:r w:rsidRPr="0054280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customer</w:t>
            </w:r>
            <w:proofErr w:type="spellEnd"/>
            <w:r w:rsidRPr="0054280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4280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satisfaction</w:t>
            </w:r>
            <w:proofErr w:type="spellEnd"/>
          </w:p>
        </w:tc>
        <w:tc>
          <w:tcPr>
            <w:tcW w:w="1930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presidio del servizio e </w:t>
            </w:r>
            <w:proofErr w:type="spellStart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customer</w:t>
            </w:r>
            <w:proofErr w:type="spellEnd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satisfaction</w:t>
            </w:r>
            <w:proofErr w:type="spellEnd"/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512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del grado di soddisfazione del cliente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elaborazioni di dati ed informazioni circa i comportamenti del consumatore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creazione della rete di relazioni locali con istituzioni, associazioni, scuole, ecc.</w:t>
            </w:r>
          </w:p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realizzazione di eventi culturali, sociali, commerciali per il radicamento sul territorio </w:t>
            </w:r>
          </w:p>
        </w:tc>
        <w:tc>
          <w:tcPr>
            <w:tcW w:w="2304" w:type="dxa"/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C7E1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Interventi volti alla fidelizzazione e soddisfazione del cliente proposti e realizzati</w:t>
            </w:r>
          </w:p>
        </w:tc>
        <w:tc>
          <w:tcPr>
            <w:tcW w:w="1337" w:type="dxa"/>
            <w:tcBorders>
              <w:top w:val="single" w:sz="4" w:space="0" w:color="7D2D00"/>
            </w:tcBorders>
          </w:tcPr>
          <w:p w:rsidR="00AC7E1D" w:rsidRPr="00AC7E1D" w:rsidRDefault="00AC7E1D" w:rsidP="0098261A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bookmarkEnd w:id="0"/>
    </w:tbl>
    <w:p w:rsidR="00AC7E1D" w:rsidRPr="00AC7E1D" w:rsidRDefault="00AC7E1D" w:rsidP="0098261A">
      <w:pPr>
        <w:spacing w:before="120" w:after="120" w:line="200" w:lineRule="exact"/>
        <w:rPr>
          <w:rFonts w:ascii="Arial Narrow" w:eastAsia="Times New Roman" w:hAnsi="Arial Narrow" w:cs="Tahoma"/>
          <w:sz w:val="20"/>
          <w:szCs w:val="20"/>
          <w:lang w:eastAsia="it-IT"/>
        </w:rPr>
      </w:pPr>
    </w:p>
    <w:p w:rsidR="00A26CCD" w:rsidRPr="0098261A" w:rsidRDefault="0054280F" w:rsidP="0098261A">
      <w:pPr>
        <w:spacing w:before="120" w:after="120" w:line="200" w:lineRule="exact"/>
        <w:rPr>
          <w:rFonts w:ascii="Arial Narrow" w:eastAsia="Times New Roman" w:hAnsi="Arial Narrow" w:cs="Tahoma"/>
          <w:sz w:val="20"/>
          <w:szCs w:val="20"/>
          <w:lang w:eastAsia="it-IT"/>
        </w:rPr>
      </w:pPr>
    </w:p>
    <w:sectPr w:rsidR="00A26CCD" w:rsidRPr="0098261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7F50"/>
    <w:multiLevelType w:val="hybridMultilevel"/>
    <w:tmpl w:val="C66488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634E7F"/>
    <w:multiLevelType w:val="hybridMultilevel"/>
    <w:tmpl w:val="DA962B60"/>
    <w:lvl w:ilvl="0" w:tplc="0410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E91CE9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1767F9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E912A9"/>
    <w:multiLevelType w:val="hybridMultilevel"/>
    <w:tmpl w:val="28802298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1BC2959"/>
    <w:multiLevelType w:val="hybridMultilevel"/>
    <w:tmpl w:val="FD3234FC"/>
    <w:lvl w:ilvl="0" w:tplc="63923E50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ED49A3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4C77C0B"/>
    <w:multiLevelType w:val="hybridMultilevel"/>
    <w:tmpl w:val="14E4C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DEF"/>
    <w:rsid w:val="00041A85"/>
    <w:rsid w:val="00107C0B"/>
    <w:rsid w:val="003D427D"/>
    <w:rsid w:val="0054280F"/>
    <w:rsid w:val="006B4A98"/>
    <w:rsid w:val="0098261A"/>
    <w:rsid w:val="00AC7E1D"/>
    <w:rsid w:val="00B35287"/>
    <w:rsid w:val="00BA3067"/>
    <w:rsid w:val="00ED5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826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826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955</Words>
  <Characters>5450</Characters>
  <Application>Microsoft Office Word</Application>
  <DocSecurity>0</DocSecurity>
  <Lines>45</Lines>
  <Paragraphs>12</Paragraphs>
  <ScaleCrop>false</ScaleCrop>
  <Company/>
  <LinksUpToDate>false</LinksUpToDate>
  <CharactersWithSpaces>6393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9</cp:revision>
  <dcterms:created xsi:type="dcterms:W3CDTF">2013-07-25T09:14:00Z</dcterms:created>
  <dcterms:modified xsi:type="dcterms:W3CDTF">2013-07-25T09:20:00Z</dcterms:modified>
</cp:coreProperties>
</file>